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Anexo de comprobación documental</w:t>
      </w:r>
    </w:p>
    <w:p>
      <w:r>
        <w:t>E.G. 745/2026 · Gil Marer · Complemento del recurso de reposición de versión 12 de septiembre de 2026</w:t>
      </w:r>
    </w:p>
    <w:p>
      <w:r>
        <w:t>Se propone una secuencia de comprobaciones delimitadas, comenzando por los registros y decisiones que la Fiscalía puede identificar. Las matrices relacionan el mismo conjunto de hechos sin confundir las competencias ni las titularidades. Una casilla abierta genera una diligencia; no una conclusión incriminatoria.</w:t>
      </w:r>
    </w:p>
    <w:p>
      <w:pPr>
        <w:pStyle w:val="Heading1"/>
      </w:pPr>
      <w:r>
        <w:t>Convenciones probatorias</w:t>
      </w:r>
    </w:p>
    <w:tbl>
      <w:tblPr>
        <w:tblStyle w:val="TableGrid"/>
        <w:tblW w:type="auto" w:w="0"/>
        <w:tblLayout w:type="fixed"/>
        <w:tblLook w:firstColumn="1" w:firstRow="1" w:lastColumn="0" w:lastRow="0" w:noHBand="0" w:noVBand="1" w:val="04A0"/>
      </w:tblPr>
      <w:tblGrid>
        <w:gridCol w:w="2835"/>
        <w:gridCol w:w="11735"/>
      </w:tblGrid>
      <w:tr>
        <w:trPr>
          <w:tblHeader/>
          <w:cantSplit/>
        </w:trPr>
        <w:tc>
          <w:tcPr>
            <w:tcW w:type="dxa" w:w="2835"/>
            <w:shd w:fill="E8EBEF"/>
          </w:tcPr>
          <w:p>
            <w:pPr>
              <w:spacing w:after="60" w:before="40" w:line="240" w:lineRule="auto"/>
            </w:pPr>
            <w:r>
              <w:rPr>
                <w:rFonts w:ascii="Liberation Sans" w:hAnsi="Liberation Sans"/>
                <w:b/>
                <w:sz w:val="20"/>
              </w:rPr>
              <w:t>Clase</w:t>
            </w:r>
          </w:p>
        </w:tc>
        <w:tc>
          <w:tcPr>
            <w:tcW w:type="dxa" w:w="11735"/>
            <w:shd w:fill="E8EBEF"/>
          </w:tcPr>
          <w:p>
            <w:pPr>
              <w:spacing w:after="60" w:before="40" w:line="240" w:lineRule="auto"/>
            </w:pPr>
            <w:r>
              <w:rPr>
                <w:rFonts w:ascii="Liberation Sans" w:hAnsi="Liberation Sans"/>
                <w:b/>
                <w:sz w:val="20"/>
              </w:rPr>
              <w:t>Uso en este anexo</w:t>
            </w:r>
          </w:p>
        </w:tc>
      </w:tr>
      <w:tr>
        <w:trPr>
          <w:cantSplit/>
        </w:trPr>
        <w:tc>
          <w:tcPr>
            <w:tcW w:type="dxa" w:w="2835"/>
          </w:tcPr>
          <w:p>
            <w:pPr>
              <w:spacing w:after="60" w:before="40" w:line="240" w:lineRule="auto"/>
            </w:pPr>
            <w:r>
              <w:rPr>
                <w:rFonts w:ascii="Liberation Sans" w:hAnsi="Liberation Sans"/>
                <w:b w:val="0"/>
                <w:sz w:val="20"/>
              </w:rPr>
              <w:t>Hecho documentado</w:t>
            </w:r>
          </w:p>
        </w:tc>
        <w:tc>
          <w:tcPr>
            <w:tcW w:type="dxa" w:w="11735"/>
          </w:tcPr>
          <w:p>
            <w:pPr>
              <w:spacing w:after="60" w:before="40" w:line="240" w:lineRule="auto"/>
            </w:pPr>
            <w:r>
              <w:rPr>
                <w:rFonts w:ascii="Liberation Sans" w:hAnsi="Liberation Sans"/>
                <w:b w:val="0"/>
                <w:sz w:val="20"/>
              </w:rPr>
              <w:t>Existencia, autor, fecha y contenido de un documento. No acredita automáticamente la verdad de sus declaraciones.</w:t>
            </w:r>
          </w:p>
        </w:tc>
      </w:tr>
      <w:tr>
        <w:trPr>
          <w:cantSplit/>
        </w:trPr>
        <w:tc>
          <w:tcPr>
            <w:tcW w:type="dxa" w:w="2835"/>
          </w:tcPr>
          <w:p>
            <w:pPr>
              <w:spacing w:after="60" w:before="40" w:line="240" w:lineRule="auto"/>
            </w:pPr>
            <w:r>
              <w:rPr>
                <w:rFonts w:ascii="Liberation Sans" w:hAnsi="Liberation Sans"/>
                <w:b w:val="0"/>
                <w:sz w:val="20"/>
              </w:rPr>
              <w:t>Alegación contemporánea</w:t>
            </w:r>
          </w:p>
        </w:tc>
        <w:tc>
          <w:tcPr>
            <w:tcW w:type="dxa" w:w="11735"/>
          </w:tcPr>
          <w:p>
            <w:pPr>
              <w:spacing w:after="60" w:before="40" w:line="240" w:lineRule="auto"/>
            </w:pPr>
            <w:r>
              <w:rPr>
                <w:rFonts w:ascii="Liberation Sans" w:hAnsi="Liberation Sans"/>
                <w:b w:val="0"/>
                <w:sz w:val="20"/>
              </w:rPr>
              <w:t>Afirmación formulada próxima a los hechos: D12–D14 y declaraciones de 2018.</w:t>
            </w:r>
          </w:p>
        </w:tc>
      </w:tr>
      <w:tr>
        <w:trPr>
          <w:cantSplit/>
        </w:trPr>
        <w:tc>
          <w:tcPr>
            <w:tcW w:type="dxa" w:w="2835"/>
          </w:tcPr>
          <w:p>
            <w:pPr>
              <w:spacing w:after="60" w:before="40" w:line="240" w:lineRule="auto"/>
            </w:pPr>
            <w:r>
              <w:rPr>
                <w:rFonts w:ascii="Liberation Sans" w:hAnsi="Liberation Sans"/>
                <w:b w:val="0"/>
                <w:sz w:val="20"/>
              </w:rPr>
              <w:t>Alegación posterior</w:t>
            </w:r>
          </w:p>
        </w:tc>
        <w:tc>
          <w:tcPr>
            <w:tcW w:type="dxa" w:w="11735"/>
          </w:tcPr>
          <w:p>
            <w:pPr>
              <w:spacing w:after="60" w:before="40" w:line="240" w:lineRule="auto"/>
            </w:pPr>
            <w:r>
              <w:rPr>
                <w:rFonts w:ascii="Liberation Sans" w:hAnsi="Liberation Sans"/>
                <w:b w:val="0"/>
                <w:sz w:val="20"/>
              </w:rPr>
              <w:t>Reconstrucción o imputación posterior: debe identificarse su fuente y el momento en que llegó a cada destinatario.</w:t>
            </w:r>
          </w:p>
        </w:tc>
      </w:tr>
      <w:tr>
        <w:trPr>
          <w:cantSplit/>
        </w:trPr>
        <w:tc>
          <w:tcPr>
            <w:tcW w:type="dxa" w:w="2835"/>
          </w:tcPr>
          <w:p>
            <w:pPr>
              <w:spacing w:after="60" w:before="40" w:line="240" w:lineRule="auto"/>
            </w:pPr>
            <w:r>
              <w:rPr>
                <w:rFonts w:ascii="Liberation Sans" w:hAnsi="Liberation Sans"/>
                <w:b w:val="0"/>
                <w:sz w:val="20"/>
              </w:rPr>
              <w:t>Inferencia</w:t>
            </w:r>
          </w:p>
        </w:tc>
        <w:tc>
          <w:tcPr>
            <w:tcW w:type="dxa" w:w="11735"/>
          </w:tcPr>
          <w:p>
            <w:pPr>
              <w:spacing w:after="60" w:before="40" w:line="240" w:lineRule="auto"/>
            </w:pPr>
            <w:r>
              <w:rPr>
                <w:rFonts w:ascii="Liberation Sans" w:hAnsi="Liberation Sans"/>
                <w:b w:val="0"/>
                <w:sz w:val="20"/>
              </w:rPr>
              <w:t>Conclusión razonada y refutable, como la posible circularidad institucional; no prueba directa de intención.</w:t>
            </w:r>
          </w:p>
        </w:tc>
      </w:tr>
      <w:tr>
        <w:trPr>
          <w:cantSplit/>
        </w:trPr>
        <w:tc>
          <w:tcPr>
            <w:tcW w:type="dxa" w:w="2835"/>
          </w:tcPr>
          <w:p>
            <w:pPr>
              <w:spacing w:after="60" w:before="40" w:line="240" w:lineRule="auto"/>
            </w:pPr>
            <w:r>
              <w:rPr>
                <w:rFonts w:ascii="Liberation Sans" w:hAnsi="Liberation Sans"/>
                <w:b w:val="0"/>
                <w:sz w:val="20"/>
              </w:rPr>
              <w:t>Contradicción</w:t>
            </w:r>
          </w:p>
        </w:tc>
        <w:tc>
          <w:tcPr>
            <w:tcW w:type="dxa" w:w="11735"/>
          </w:tcPr>
          <w:p>
            <w:pPr>
              <w:spacing w:after="60" w:before="40" w:line="240" w:lineRule="auto"/>
            </w:pPr>
            <w:r>
              <w:rPr>
                <w:rFonts w:ascii="Liberation Sans" w:hAnsi="Liberation Sans"/>
                <w:b w:val="0"/>
                <w:sz w:val="20"/>
              </w:rPr>
              <w:t>Discrepancia entre fuentes o dentro de una fuente, conservando fecha, alcance y explicaciones alternativas.</w:t>
            </w:r>
          </w:p>
        </w:tc>
      </w:tr>
      <w:tr>
        <w:trPr>
          <w:cantSplit/>
        </w:trPr>
        <w:tc>
          <w:tcPr>
            <w:tcW w:type="dxa" w:w="2835"/>
          </w:tcPr>
          <w:p>
            <w:pPr>
              <w:spacing w:after="60" w:before="40" w:line="240" w:lineRule="auto"/>
            </w:pPr>
            <w:r>
              <w:rPr>
                <w:rFonts w:ascii="Liberation Sans" w:hAnsi="Liberation Sans"/>
                <w:b w:val="0"/>
                <w:sz w:val="20"/>
              </w:rPr>
              <w:t>Cuestión no resuelta</w:t>
            </w:r>
          </w:p>
        </w:tc>
        <w:tc>
          <w:tcPr>
            <w:tcW w:type="dxa" w:w="11735"/>
          </w:tcPr>
          <w:p>
            <w:pPr>
              <w:spacing w:after="60" w:before="40" w:line="240" w:lineRule="auto"/>
            </w:pPr>
            <w:r>
              <w:rPr>
                <w:rFonts w:ascii="Liberation Sans" w:hAnsi="Liberation Sans"/>
                <w:b w:val="0"/>
                <w:sz w:val="20"/>
              </w:rPr>
              <w:t>Falta de prueba accesible o cotejo suficiente; no afirmación de inexistencia del documento/hecho.</w:t>
            </w:r>
          </w:p>
        </w:tc>
      </w:tr>
      <w:tr>
        <w:trPr>
          <w:cantSplit/>
        </w:trPr>
        <w:tc>
          <w:tcPr>
            <w:tcW w:type="dxa" w:w="2835"/>
          </w:tcPr>
          <w:p>
            <w:pPr>
              <w:spacing w:after="60" w:before="40" w:line="240" w:lineRule="auto"/>
            </w:pPr>
            <w:r>
              <w:rPr>
                <w:rFonts w:ascii="Liberation Sans" w:hAnsi="Liberation Sans"/>
                <w:b w:val="0"/>
                <w:sz w:val="20"/>
              </w:rPr>
              <w:t>Caracterización jurídica</w:t>
            </w:r>
          </w:p>
        </w:tc>
        <w:tc>
          <w:tcPr>
            <w:tcW w:type="dxa" w:w="11735"/>
          </w:tcPr>
          <w:p>
            <w:pPr>
              <w:spacing w:after="60" w:before="40" w:line="240" w:lineRule="auto"/>
            </w:pPr>
            <w:r>
              <w:rPr>
                <w:rFonts w:ascii="Liberation Sans" w:hAnsi="Liberation Sans"/>
                <w:b w:val="0"/>
                <w:sz w:val="20"/>
              </w:rPr>
              <w:t>Valoración sujeta a elementos típicos, competencia, ley temporal, justificación y prescripción.</w:t>
            </w:r>
          </w:p>
        </w:tc>
      </w:tr>
    </w:tbl>
    <w:p/>
    <w:p>
      <w:pPr>
        <w:pStyle w:val="Heading1"/>
      </w:pPr>
      <w:r>
        <w:t>Lectura del perímetro</w:t>
      </w:r>
    </w:p>
    <w:p>
      <w:r>
        <w:t>Para el 7 de junio de 2018 deben identificarse por separado los inmuebles previamente adquiridos por CAM, los bienes hipotecados de LPB, los locales y piscinas no afectos al privilegio especial, Matkator y terceros. “Unidad productiva”, “hotel”, “Comunidad” y “masa activa” no son perímetros intercambiables. La propiedad o la hipoteca tampoco determinan por sí solas la explotación o la autoría de cada actuación.</w:t>
      </w:r>
    </w:p>
    <w:p>
      <w:r>
        <w:t>El circuito a comprobar es crédito, garantía concreta, perímetro, título, facultad, fecha, acto material, bien, dueño, efecto, beneficiario, decisión concursal y posterior adjudicación. La pregunta de control es qué facultad existía en la fecha del acto y qué documento la acredita.</w:t>
      </w:r>
    </w:p>
    <w:p>
      <w:pPr>
        <w:pStyle w:val="Heading1"/>
        <w:pageBreakBefore/>
      </w:pPr>
      <w:r>
        <w:t>1 Cronología de contraste</w:t>
      </w:r>
    </w:p>
    <w:tbl>
      <w:tblPr>
        <w:tblStyle w:val="TableGrid"/>
        <w:tblW w:type="auto" w:w="0"/>
        <w:tblLayout w:type="fixed"/>
        <w:tblLook w:firstColumn="1" w:firstRow="1" w:lastColumn="0" w:lastRow="0" w:noHBand="0" w:noVBand="1" w:val="04A0"/>
      </w:tblPr>
      <w:tblGrid>
        <w:gridCol w:w="1531"/>
        <w:gridCol w:w="2948"/>
        <w:gridCol w:w="1928"/>
        <w:gridCol w:w="1871"/>
        <w:gridCol w:w="6293"/>
      </w:tblGrid>
      <w:tr>
        <w:trPr>
          <w:tblHeader/>
          <w:cantSplit/>
        </w:trPr>
        <w:tc>
          <w:tcPr>
            <w:tcW w:type="dxa" w:w="1531"/>
            <w:shd w:fill="E8EBEF"/>
          </w:tcPr>
          <w:p>
            <w:pPr>
              <w:spacing w:after="60" w:before="40" w:line="240" w:lineRule="auto"/>
            </w:pPr>
            <w:r>
              <w:rPr>
                <w:rFonts w:ascii="Liberation Sans" w:hAnsi="Liberation Sans"/>
                <w:b/>
                <w:sz w:val="18"/>
              </w:rPr>
              <w:t>Fecha</w:t>
            </w:r>
          </w:p>
        </w:tc>
        <w:tc>
          <w:tcPr>
            <w:tcW w:type="dxa" w:w="2948"/>
            <w:shd w:fill="E8EBEF"/>
          </w:tcPr>
          <w:p>
            <w:pPr>
              <w:spacing w:after="60" w:before="40" w:line="240" w:lineRule="auto"/>
            </w:pPr>
            <w:r>
              <w:rPr>
                <w:rFonts w:ascii="Liberation Sans" w:hAnsi="Liberation Sans"/>
                <w:b/>
                <w:sz w:val="18"/>
              </w:rPr>
              <w:t>Acto o situación</w:t>
            </w:r>
          </w:p>
        </w:tc>
        <w:tc>
          <w:tcPr>
            <w:tcW w:type="dxa" w:w="1928"/>
            <w:shd w:fill="E8EBEF"/>
          </w:tcPr>
          <w:p>
            <w:pPr>
              <w:spacing w:after="60" w:before="40" w:line="240" w:lineRule="auto"/>
            </w:pPr>
            <w:r>
              <w:rPr>
                <w:rFonts w:ascii="Liberation Sans" w:hAnsi="Liberation Sans"/>
                <w:b/>
                <w:sz w:val="18"/>
              </w:rPr>
              <w:t>Clase</w:t>
            </w:r>
          </w:p>
        </w:tc>
        <w:tc>
          <w:tcPr>
            <w:tcW w:type="dxa" w:w="1871"/>
            <w:shd w:fill="E8EBEF"/>
          </w:tcPr>
          <w:p>
            <w:pPr>
              <w:spacing w:after="60" w:before="40" w:line="240" w:lineRule="auto"/>
            </w:pPr>
            <w:r>
              <w:rPr>
                <w:rFonts w:ascii="Liberation Sans" w:hAnsi="Liberation Sans"/>
                <w:b/>
                <w:sz w:val="18"/>
              </w:rPr>
              <w:t>Fuente</w:t>
            </w:r>
          </w:p>
        </w:tc>
        <w:tc>
          <w:tcPr>
            <w:tcW w:type="dxa" w:w="6293"/>
            <w:shd w:fill="E8EBEF"/>
          </w:tcPr>
          <w:p>
            <w:pPr>
              <w:spacing w:after="60" w:before="40" w:line="240" w:lineRule="auto"/>
            </w:pPr>
            <w:r>
              <w:rPr>
                <w:rFonts w:ascii="Liberation Sans" w:hAnsi="Liberation Sans"/>
                <w:b/>
                <w:sz w:val="18"/>
              </w:rPr>
              <w:t>Incidencia y límite</w:t>
            </w:r>
          </w:p>
        </w:tc>
      </w:tr>
      <w:tr>
        <w:trPr>
          <w:cantSplit/>
        </w:trPr>
        <w:tc>
          <w:tcPr>
            <w:tcW w:type="dxa" w:w="1531"/>
          </w:tcPr>
          <w:p>
            <w:pPr>
              <w:spacing w:after="60" w:before="40" w:line="240" w:lineRule="auto"/>
            </w:pPr>
            <w:r>
              <w:rPr>
                <w:rFonts w:ascii="Liberation Sans" w:hAnsi="Liberation Sans"/>
                <w:b w:val="0"/>
                <w:sz w:val="18"/>
              </w:rPr>
              <w:t>Antes de C36</w:t>
            </w:r>
          </w:p>
        </w:tc>
        <w:tc>
          <w:tcPr>
            <w:tcW w:type="dxa" w:w="2948"/>
          </w:tcPr>
          <w:p>
            <w:pPr>
              <w:spacing w:after="60" w:before="40" w:line="240" w:lineRule="auto"/>
            </w:pPr>
            <w:r>
              <w:rPr>
                <w:rFonts w:ascii="Liberation Sans" w:hAnsi="Liberation Sans"/>
                <w:b w:val="0"/>
                <w:sz w:val="18"/>
              </w:rPr>
              <w:t>Hotel y explotación preexistentes</w:t>
            </w:r>
          </w:p>
        </w:tc>
        <w:tc>
          <w:tcPr>
            <w:tcW w:type="dxa" w:w="1928"/>
          </w:tcPr>
          <w:p>
            <w:pPr>
              <w:spacing w:after="60" w:before="40" w:line="240" w:lineRule="auto"/>
            </w:pPr>
            <w:r>
              <w:rPr>
                <w:rFonts w:ascii="Liberation Sans" w:hAnsi="Liberation Sans"/>
                <w:b w:val="0"/>
                <w:sz w:val="18"/>
              </w:rPr>
              <w:t>Antecedentes y alegaciones</w:t>
            </w:r>
          </w:p>
        </w:tc>
        <w:tc>
          <w:tcPr>
            <w:tcW w:type="dxa" w:w="1871"/>
          </w:tcPr>
          <w:p>
            <w:pPr>
              <w:spacing w:after="60" w:before="40" w:line="240" w:lineRule="auto"/>
            </w:pPr>
            <w:r>
              <w:rPr>
                <w:rFonts w:ascii="Liberation Sans" w:hAnsi="Liberation Sans"/>
                <w:b w:val="0"/>
                <w:sz w:val="18"/>
              </w:rPr>
              <w:t>D12; contrato citado en D16; D25</w:t>
            </w:r>
          </w:p>
        </w:tc>
        <w:tc>
          <w:tcPr>
            <w:tcW w:type="dxa" w:w="6293"/>
          </w:tcPr>
          <w:p>
            <w:pPr>
              <w:spacing w:after="60" w:before="40" w:line="240" w:lineRule="auto"/>
            </w:pPr>
            <w:r>
              <w:rPr>
                <w:rFonts w:ascii="Liberation Sans" w:hAnsi="Liberation Sans"/>
                <w:b w:val="0"/>
                <w:sz w:val="18"/>
              </w:rPr>
              <w:t>La existencia del hotel no demuestra legitimidad de todo operador ni continuidad posesoria. Recuperar títulos, licencias y contratos anteriores.</w:t>
            </w:r>
          </w:p>
        </w:tc>
      </w:tr>
      <w:tr>
        <w:trPr>
          <w:cantSplit/>
        </w:trPr>
        <w:tc>
          <w:tcPr>
            <w:tcW w:type="dxa" w:w="1531"/>
          </w:tcPr>
          <w:p>
            <w:pPr>
              <w:spacing w:after="60" w:before="40" w:line="240" w:lineRule="auto"/>
            </w:pPr>
            <w:r>
              <w:rPr>
                <w:rFonts w:ascii="Liberation Sans" w:hAnsi="Liberation Sans"/>
                <w:b w:val="0"/>
                <w:sz w:val="18"/>
              </w:rPr>
              <w:t>06-02-2012 / 06-06-2012</w:t>
            </w:r>
          </w:p>
        </w:tc>
        <w:tc>
          <w:tcPr>
            <w:tcW w:type="dxa" w:w="2948"/>
          </w:tcPr>
          <w:p>
            <w:pPr>
              <w:spacing w:after="60" w:before="40" w:line="240" w:lineRule="auto"/>
            </w:pPr>
            <w:r>
              <w:rPr>
                <w:rFonts w:ascii="Liberation Sans" w:hAnsi="Liberation Sans"/>
                <w:b w:val="0"/>
                <w:sz w:val="18"/>
              </w:rPr>
              <w:t>Arrendamiento a Monterecco/Pink; apertura C36</w:t>
            </w:r>
          </w:p>
        </w:tc>
        <w:tc>
          <w:tcPr>
            <w:tcW w:type="dxa" w:w="1928"/>
          </w:tcPr>
          <w:p>
            <w:pPr>
              <w:spacing w:after="60" w:before="40" w:line="240" w:lineRule="auto"/>
            </w:pPr>
            <w:r>
              <w:rPr>
                <w:rFonts w:ascii="Liberation Sans" w:hAnsi="Liberation Sans"/>
                <w:b w:val="0"/>
                <w:sz w:val="18"/>
              </w:rPr>
              <w:t>Antecedentes documentados por AC</w:t>
            </w:r>
          </w:p>
        </w:tc>
        <w:tc>
          <w:tcPr>
            <w:tcW w:type="dxa" w:w="1871"/>
          </w:tcPr>
          <w:p>
            <w:pPr>
              <w:spacing w:after="60" w:before="40" w:line="240" w:lineRule="auto"/>
            </w:pPr>
            <w:r>
              <w:rPr>
                <w:rFonts w:ascii="Liberation Sans" w:hAnsi="Liberation Sans"/>
                <w:b w:val="0"/>
                <w:sz w:val="18"/>
              </w:rPr>
              <w:t>D16 p.2; D18 p.3</w:t>
            </w:r>
          </w:p>
        </w:tc>
        <w:tc>
          <w:tcPr>
            <w:tcW w:type="dxa" w:w="6293"/>
          </w:tcPr>
          <w:p>
            <w:pPr>
              <w:spacing w:after="60" w:before="40" w:line="240" w:lineRule="auto"/>
            </w:pPr>
            <w:r>
              <w:rPr>
                <w:rFonts w:ascii="Liberation Sans" w:hAnsi="Liberation Sans"/>
                <w:b w:val="0"/>
                <w:sz w:val="18"/>
              </w:rPr>
              <w:t>Separar dueño, arrendataria, CEXP y Comunidad. El plan refiere Auto de concurso de 6 de junio.</w:t>
            </w:r>
          </w:p>
        </w:tc>
      </w:tr>
      <w:tr>
        <w:trPr>
          <w:cantSplit/>
        </w:trPr>
        <w:tc>
          <w:tcPr>
            <w:tcW w:type="dxa" w:w="1531"/>
          </w:tcPr>
          <w:p>
            <w:pPr>
              <w:spacing w:after="60" w:before="40" w:line="240" w:lineRule="auto"/>
            </w:pPr>
            <w:r>
              <w:rPr>
                <w:rFonts w:ascii="Liberation Sans" w:hAnsi="Liberation Sans"/>
                <w:b w:val="0"/>
                <w:sz w:val="18"/>
              </w:rPr>
              <w:t>22-05-2017</w:t>
            </w:r>
          </w:p>
        </w:tc>
        <w:tc>
          <w:tcPr>
            <w:tcW w:type="dxa" w:w="2948"/>
          </w:tcPr>
          <w:p>
            <w:pPr>
              <w:spacing w:after="60" w:before="40" w:line="240" w:lineRule="auto"/>
            </w:pPr>
            <w:r>
              <w:rPr>
                <w:rFonts w:ascii="Liberation Sans" w:hAnsi="Liberation Sans"/>
                <w:b w:val="0"/>
                <w:sz w:val="18"/>
              </w:rPr>
              <w:t>Entrega de posesión a LPB según AC</w:t>
            </w:r>
          </w:p>
        </w:tc>
        <w:tc>
          <w:tcPr>
            <w:tcW w:type="dxa" w:w="1928"/>
          </w:tcPr>
          <w:p>
            <w:pPr>
              <w:spacing w:after="60" w:before="40" w:line="240" w:lineRule="auto"/>
            </w:pPr>
            <w:r>
              <w:rPr>
                <w:rFonts w:ascii="Liberation Sans" w:hAnsi="Liberation Sans"/>
                <w:b w:val="0"/>
                <w:sz w:val="18"/>
              </w:rPr>
              <w:t>Declaración adversa y valoración judicial</w:t>
            </w:r>
          </w:p>
        </w:tc>
        <w:tc>
          <w:tcPr>
            <w:tcW w:type="dxa" w:w="1871"/>
          </w:tcPr>
          <w:p>
            <w:pPr>
              <w:spacing w:after="60" w:before="40" w:line="240" w:lineRule="auto"/>
            </w:pPr>
            <w:r>
              <w:rPr>
                <w:rFonts w:ascii="Liberation Sans" w:hAnsi="Liberation Sans"/>
                <w:b w:val="0"/>
                <w:sz w:val="18"/>
              </w:rPr>
              <w:t>D16 p.2; D15</w:t>
            </w:r>
          </w:p>
        </w:tc>
        <w:tc>
          <w:tcPr>
            <w:tcW w:type="dxa" w:w="6293"/>
          </w:tcPr>
          <w:p>
            <w:pPr>
              <w:spacing w:after="60" w:before="40" w:line="240" w:lineRule="auto"/>
            </w:pPr>
            <w:r>
              <w:rPr>
                <w:rFonts w:ascii="Liberation Sans" w:hAnsi="Liberation Sans"/>
                <w:b w:val="0"/>
                <w:sz w:val="18"/>
              </w:rPr>
              <w:t>No sostener posesión ininterrumpida de Pink/CEXP sin resolver esta prueba.</w:t>
            </w:r>
          </w:p>
        </w:tc>
      </w:tr>
      <w:tr>
        <w:trPr>
          <w:cantSplit/>
        </w:trPr>
        <w:tc>
          <w:tcPr>
            <w:tcW w:type="dxa" w:w="1531"/>
          </w:tcPr>
          <w:p>
            <w:pPr>
              <w:spacing w:after="60" w:before="40" w:line="240" w:lineRule="auto"/>
            </w:pPr>
            <w:r>
              <w:rPr>
                <w:rFonts w:ascii="Liberation Sans" w:hAnsi="Liberation Sans"/>
                <w:b w:val="0"/>
                <w:sz w:val="18"/>
              </w:rPr>
              <w:t>20-10-2017 / 19-12-2017</w:t>
            </w:r>
          </w:p>
        </w:tc>
        <w:tc>
          <w:tcPr>
            <w:tcW w:type="dxa" w:w="2948"/>
          </w:tcPr>
          <w:p>
            <w:pPr>
              <w:spacing w:after="60" w:before="40" w:line="240" w:lineRule="auto"/>
            </w:pPr>
            <w:r>
              <w:rPr>
                <w:rFonts w:ascii="Liberation Sans" w:hAnsi="Liberation Sans"/>
                <w:b w:val="0"/>
                <w:sz w:val="18"/>
              </w:rPr>
              <w:t>Cesión de créditos referida en actas; apertura liquidación</w:t>
            </w:r>
          </w:p>
        </w:tc>
        <w:tc>
          <w:tcPr>
            <w:tcW w:type="dxa" w:w="1928"/>
          </w:tcPr>
          <w:p>
            <w:pPr>
              <w:spacing w:after="60" w:before="40" w:line="240" w:lineRule="auto"/>
            </w:pPr>
            <w:r>
              <w:rPr>
                <w:rFonts w:ascii="Liberation Sans" w:hAnsi="Liberation Sans"/>
                <w:b w:val="0"/>
                <w:sz w:val="18"/>
              </w:rPr>
              <w:t>Recital notarial / antecedente AC</w:t>
            </w:r>
          </w:p>
        </w:tc>
        <w:tc>
          <w:tcPr>
            <w:tcW w:type="dxa" w:w="1871"/>
          </w:tcPr>
          <w:p>
            <w:pPr>
              <w:spacing w:after="60" w:before="40" w:line="240" w:lineRule="auto"/>
            </w:pPr>
            <w:r>
              <w:rPr>
                <w:rFonts w:ascii="Liberation Sans" w:hAnsi="Liberation Sans"/>
                <w:b w:val="0"/>
                <w:sz w:val="18"/>
              </w:rPr>
              <w:t>D23–D24; D16; D18</w:t>
            </w:r>
          </w:p>
        </w:tc>
        <w:tc>
          <w:tcPr>
            <w:tcW w:type="dxa" w:w="6293"/>
          </w:tcPr>
          <w:p>
            <w:pPr>
              <w:spacing w:after="60" w:before="40" w:line="240" w:lineRule="auto"/>
            </w:pPr>
            <w:r>
              <w:rPr>
                <w:rFonts w:ascii="Liberation Sans" w:hAnsi="Liberation Sans"/>
                <w:b w:val="0"/>
                <w:sz w:val="18"/>
              </w:rPr>
              <w:t>Crédito adquirido no equivale a fincas adquiridas. Liquidación cambia facultades de representación LPB.</w:t>
            </w:r>
          </w:p>
        </w:tc>
      </w:tr>
      <w:tr>
        <w:trPr>
          <w:cantSplit/>
        </w:trPr>
        <w:tc>
          <w:tcPr>
            <w:tcW w:type="dxa" w:w="1531"/>
          </w:tcPr>
          <w:p>
            <w:pPr>
              <w:spacing w:after="60" w:before="40" w:line="240" w:lineRule="auto"/>
            </w:pPr>
            <w:r>
              <w:rPr>
                <w:rFonts w:ascii="Liberation Sans" w:hAnsi="Liberation Sans"/>
                <w:b w:val="0"/>
                <w:sz w:val="18"/>
              </w:rPr>
              <w:t>Enero–febrero 2018</w:t>
            </w:r>
          </w:p>
        </w:tc>
        <w:tc>
          <w:tcPr>
            <w:tcW w:type="dxa" w:w="2948"/>
          </w:tcPr>
          <w:p>
            <w:pPr>
              <w:spacing w:after="60" w:before="40" w:line="240" w:lineRule="auto"/>
            </w:pPr>
            <w:r>
              <w:rPr>
                <w:rFonts w:ascii="Liberation Sans" w:hAnsi="Liberation Sans"/>
                <w:b w:val="0"/>
                <w:sz w:val="18"/>
              </w:rPr>
              <w:t>Plan e identificación CAM; fechas de versión/registro por casar</w:t>
            </w:r>
          </w:p>
        </w:tc>
        <w:tc>
          <w:tcPr>
            <w:tcW w:type="dxa" w:w="1928"/>
          </w:tcPr>
          <w:p>
            <w:pPr>
              <w:spacing w:after="60" w:before="40" w:line="240" w:lineRule="auto"/>
            </w:pPr>
            <w:r>
              <w:rPr>
                <w:rFonts w:ascii="Liberation Sans" w:hAnsi="Liberation Sans"/>
                <w:b w:val="0"/>
                <w:sz w:val="18"/>
              </w:rPr>
              <w:t>Propuesta / registro de continuidad</w:t>
            </w:r>
          </w:p>
        </w:tc>
        <w:tc>
          <w:tcPr>
            <w:tcW w:type="dxa" w:w="1871"/>
          </w:tcPr>
          <w:p>
            <w:pPr>
              <w:spacing w:after="60" w:before="40" w:line="240" w:lineRule="auto"/>
            </w:pPr>
            <w:r>
              <w:rPr>
                <w:rFonts w:ascii="Liberation Sans" w:hAnsi="Liberation Sans"/>
                <w:b w:val="0"/>
                <w:sz w:val="18"/>
              </w:rPr>
              <w:t>D18; CAM-TRX-03/04</w:t>
            </w:r>
          </w:p>
        </w:tc>
        <w:tc>
          <w:tcPr>
            <w:tcW w:type="dxa" w:w="6293"/>
          </w:tcPr>
          <w:p>
            <w:pPr>
              <w:spacing w:after="60" w:before="40" w:line="240" w:lineRule="auto"/>
            </w:pPr>
            <w:r>
              <w:rPr>
                <w:rFonts w:ascii="Liberation Sans" w:hAnsi="Liberation Sans"/>
                <w:b w:val="0"/>
                <w:sz w:val="18"/>
              </w:rPr>
              <w:t>D18 coincide por hash con propuesta registrada como 18 de enero; su nombre dice 9 FEB. No fechar solo por nombre.</w:t>
            </w:r>
          </w:p>
        </w:tc>
      </w:tr>
      <w:tr>
        <w:trPr>
          <w:cantSplit/>
        </w:trPr>
        <w:tc>
          <w:tcPr>
            <w:tcW w:type="dxa" w:w="1531"/>
          </w:tcPr>
          <w:p>
            <w:pPr>
              <w:spacing w:after="60" w:before="40" w:line="240" w:lineRule="auto"/>
            </w:pPr>
            <w:r>
              <w:rPr>
                <w:rFonts w:ascii="Liberation Sans" w:hAnsi="Liberation Sans"/>
                <w:b w:val="0"/>
                <w:sz w:val="18"/>
              </w:rPr>
              <w:t>16-04 / 17-05 / 04-06-2018</w:t>
            </w:r>
          </w:p>
        </w:tc>
        <w:tc>
          <w:tcPr>
            <w:tcW w:type="dxa" w:w="2948"/>
          </w:tcPr>
          <w:p>
            <w:pPr>
              <w:spacing w:after="60" w:before="40" w:line="240" w:lineRule="auto"/>
            </w:pPr>
            <w:r>
              <w:rPr>
                <w:rFonts w:ascii="Liberation Sans" w:hAnsi="Liberation Sans"/>
                <w:b w:val="0"/>
                <w:sz w:val="18"/>
              </w:rPr>
              <w:t>Aprobación del plan, actas de saldo y aclaración</w:t>
            </w:r>
          </w:p>
        </w:tc>
        <w:tc>
          <w:tcPr>
            <w:tcW w:type="dxa" w:w="1928"/>
          </w:tcPr>
          <w:p>
            <w:pPr>
              <w:spacing w:after="60" w:before="40" w:line="240" w:lineRule="auto"/>
            </w:pPr>
            <w:r>
              <w:rPr>
                <w:rFonts w:ascii="Liberation Sans" w:hAnsi="Liberation Sans"/>
                <w:b w:val="0"/>
                <w:sz w:val="18"/>
              </w:rPr>
              <w:t>Actos referidos / actas recuperadas</w:t>
            </w:r>
          </w:p>
        </w:tc>
        <w:tc>
          <w:tcPr>
            <w:tcW w:type="dxa" w:w="1871"/>
          </w:tcPr>
          <w:p>
            <w:pPr>
              <w:spacing w:after="60" w:before="40" w:line="240" w:lineRule="auto"/>
            </w:pPr>
            <w:r>
              <w:rPr>
                <w:rFonts w:ascii="Liberation Sans" w:hAnsi="Liberation Sans"/>
                <w:b w:val="0"/>
                <w:sz w:val="18"/>
              </w:rPr>
              <w:t>D19 pp.2–4; D23–D24</w:t>
            </w:r>
          </w:p>
        </w:tc>
        <w:tc>
          <w:tcPr>
            <w:tcW w:type="dxa" w:w="6293"/>
          </w:tcPr>
          <w:p>
            <w:pPr>
              <w:spacing w:after="60" w:before="40" w:line="240" w:lineRule="auto"/>
            </w:pPr>
            <w:r>
              <w:rPr>
                <w:rFonts w:ascii="Liberation Sans" w:hAnsi="Liberation Sans"/>
                <w:b w:val="0"/>
                <w:sz w:val="18"/>
              </w:rPr>
              <w:t>La autorización y publicidad del plan deben distinguirse del título y de la toma material.</w:t>
            </w:r>
          </w:p>
        </w:tc>
      </w:tr>
      <w:tr>
        <w:trPr>
          <w:cantSplit/>
        </w:trPr>
        <w:tc>
          <w:tcPr>
            <w:tcW w:type="dxa" w:w="1531"/>
          </w:tcPr>
          <w:p>
            <w:pPr>
              <w:spacing w:after="60" w:before="40" w:line="240" w:lineRule="auto"/>
            </w:pPr>
            <w:r>
              <w:rPr>
                <w:rFonts w:ascii="Liberation Sans" w:hAnsi="Liberation Sans"/>
                <w:b w:val="0"/>
                <w:sz w:val="18"/>
              </w:rPr>
              <w:t>06-06-2018</w:t>
            </w:r>
          </w:p>
        </w:tc>
        <w:tc>
          <w:tcPr>
            <w:tcW w:type="dxa" w:w="2948"/>
          </w:tcPr>
          <w:p>
            <w:pPr>
              <w:spacing w:after="60" w:before="40" w:line="240" w:lineRule="auto"/>
            </w:pPr>
            <w:r>
              <w:rPr>
                <w:rFonts w:ascii="Liberation Sans" w:hAnsi="Liberation Sans"/>
                <w:b w:val="0"/>
                <w:sz w:val="18"/>
              </w:rPr>
              <w:t>Contrato Clubotel y condiciones suspensivas</w:t>
            </w:r>
          </w:p>
        </w:tc>
        <w:tc>
          <w:tcPr>
            <w:tcW w:type="dxa" w:w="1928"/>
          </w:tcPr>
          <w:p>
            <w:pPr>
              <w:spacing w:after="60" w:before="40" w:line="240" w:lineRule="auto"/>
            </w:pPr>
            <w:r>
              <w:rPr>
                <w:rFonts w:ascii="Liberation Sans" w:hAnsi="Liberation Sans"/>
                <w:b w:val="0"/>
                <w:sz w:val="18"/>
              </w:rPr>
              <w:t>Contrato documentado</w:t>
            </w:r>
          </w:p>
        </w:tc>
        <w:tc>
          <w:tcPr>
            <w:tcW w:type="dxa" w:w="1871"/>
          </w:tcPr>
          <w:p>
            <w:pPr>
              <w:spacing w:after="60" w:before="40" w:line="240" w:lineRule="auto"/>
            </w:pPr>
            <w:r>
              <w:rPr>
                <w:rFonts w:ascii="Liberation Sans" w:hAnsi="Liberation Sans"/>
                <w:b w:val="0"/>
                <w:sz w:val="18"/>
              </w:rPr>
              <w:t>D25–D26</w:t>
            </w:r>
          </w:p>
        </w:tc>
        <w:tc>
          <w:tcPr>
            <w:tcW w:type="dxa" w:w="6293"/>
          </w:tcPr>
          <w:p>
            <w:pPr>
              <w:spacing w:after="60" w:before="40" w:line="240" w:lineRule="auto"/>
            </w:pPr>
            <w:r>
              <w:rPr>
                <w:rFonts w:ascii="Liberation Sans" w:hAnsi="Liberation Sans"/>
                <w:b w:val="0"/>
                <w:sz w:val="18"/>
              </w:rPr>
              <w:t>Un día antes del hecho nuclear; no acredita aún disponibilidad de cada finca ni ingreso de fondos.</w:t>
            </w:r>
          </w:p>
        </w:tc>
      </w:tr>
      <w:tr>
        <w:trPr>
          <w:cantSplit/>
        </w:trPr>
        <w:tc>
          <w:tcPr>
            <w:tcW w:type="dxa" w:w="1531"/>
          </w:tcPr>
          <w:p>
            <w:pPr>
              <w:spacing w:after="60" w:before="40" w:line="240" w:lineRule="auto"/>
            </w:pPr>
            <w:r>
              <w:rPr>
                <w:rFonts w:ascii="Liberation Sans" w:hAnsi="Liberation Sans"/>
                <w:b w:val="0"/>
                <w:sz w:val="18"/>
              </w:rPr>
              <w:t>07-06-2018</w:t>
            </w:r>
          </w:p>
        </w:tc>
        <w:tc>
          <w:tcPr>
            <w:tcW w:type="dxa" w:w="2948"/>
          </w:tcPr>
          <w:p>
            <w:pPr>
              <w:spacing w:after="60" w:before="40" w:line="240" w:lineRule="auto"/>
            </w:pPr>
            <w:r>
              <w:rPr>
                <w:rFonts w:ascii="Liberation Sans" w:hAnsi="Liberation Sans"/>
                <w:b w:val="0"/>
                <w:sz w:val="18"/>
              </w:rPr>
              <w:t>Entrada/control y cambios de acceso denunciados</w:t>
            </w:r>
          </w:p>
        </w:tc>
        <w:tc>
          <w:tcPr>
            <w:tcW w:type="dxa" w:w="1928"/>
          </w:tcPr>
          <w:p>
            <w:pPr>
              <w:spacing w:after="60" w:before="40" w:line="240" w:lineRule="auto"/>
            </w:pPr>
            <w:r>
              <w:rPr>
                <w:rFonts w:ascii="Liberation Sans" w:hAnsi="Liberation Sans"/>
                <w:b w:val="0"/>
                <w:sz w:val="18"/>
              </w:rPr>
              <w:t>Alegación contemporánea y compilación fotográfica</w:t>
            </w:r>
          </w:p>
        </w:tc>
        <w:tc>
          <w:tcPr>
            <w:tcW w:type="dxa" w:w="1871"/>
          </w:tcPr>
          <w:p>
            <w:pPr>
              <w:spacing w:after="60" w:before="40" w:line="240" w:lineRule="auto"/>
            </w:pPr>
            <w:r>
              <w:rPr>
                <w:rFonts w:ascii="Liberation Sans" w:hAnsi="Liberation Sans"/>
                <w:b w:val="0"/>
                <w:sz w:val="18"/>
              </w:rPr>
              <w:t>D12; D17; D30</w:t>
            </w:r>
          </w:p>
        </w:tc>
        <w:tc>
          <w:tcPr>
            <w:tcW w:type="dxa" w:w="6293"/>
          </w:tcPr>
          <w:p>
            <w:pPr>
              <w:spacing w:after="60" w:before="40" w:line="240" w:lineRule="auto"/>
            </w:pPr>
            <w:r>
              <w:rPr>
                <w:rFonts w:ascii="Liberation Sans" w:hAnsi="Liberation Sans"/>
                <w:b w:val="0"/>
                <w:sz w:val="18"/>
              </w:rPr>
              <w:t>Cortar aquí títulos, posesión, garantías y mandatos vigentes. Ningún título posterior llena retrospectivamente la casilla.</w:t>
            </w:r>
          </w:p>
        </w:tc>
      </w:tr>
      <w:tr>
        <w:trPr>
          <w:cantSplit/>
        </w:trPr>
        <w:tc>
          <w:tcPr>
            <w:tcW w:type="dxa" w:w="1531"/>
          </w:tcPr>
          <w:p>
            <w:pPr>
              <w:spacing w:after="60" w:before="40" w:line="240" w:lineRule="auto"/>
            </w:pPr>
            <w:r>
              <w:rPr>
                <w:rFonts w:ascii="Liberation Sans" w:hAnsi="Liberation Sans"/>
                <w:b w:val="0"/>
                <w:sz w:val="18"/>
              </w:rPr>
              <w:t>12–13-06-2018</w:t>
            </w:r>
          </w:p>
        </w:tc>
        <w:tc>
          <w:tcPr>
            <w:tcW w:type="dxa" w:w="2948"/>
          </w:tcPr>
          <w:p>
            <w:pPr>
              <w:spacing w:after="60" w:before="40" w:line="240" w:lineRule="auto"/>
            </w:pPr>
            <w:r>
              <w:rPr>
                <w:rFonts w:ascii="Liberation Sans" w:hAnsi="Liberation Sans"/>
                <w:b w:val="0"/>
                <w:sz w:val="18"/>
              </w:rPr>
              <w:t>Oferta condicionada; reuniones relatadas con juez y AC</w:t>
            </w:r>
          </w:p>
        </w:tc>
        <w:tc>
          <w:tcPr>
            <w:tcW w:type="dxa" w:w="1928"/>
          </w:tcPr>
          <w:p>
            <w:pPr>
              <w:spacing w:after="60" w:before="40" w:line="240" w:lineRule="auto"/>
            </w:pPr>
            <w:r>
              <w:rPr>
                <w:rFonts w:ascii="Liberation Sans" w:hAnsi="Liberation Sans"/>
                <w:b w:val="0"/>
                <w:sz w:val="18"/>
              </w:rPr>
              <w:t>Oferta / relato profesional</w:t>
            </w:r>
          </w:p>
        </w:tc>
        <w:tc>
          <w:tcPr>
            <w:tcW w:type="dxa" w:w="1871"/>
          </w:tcPr>
          <w:p>
            <w:pPr>
              <w:spacing w:after="60" w:before="40" w:line="240" w:lineRule="auto"/>
            </w:pPr>
            <w:r>
              <w:rPr>
                <w:rFonts w:ascii="Liberation Sans" w:hAnsi="Liberation Sans"/>
                <w:b w:val="0"/>
                <w:sz w:val="18"/>
              </w:rPr>
              <w:t>D27; D29a–D29b</w:t>
            </w:r>
          </w:p>
        </w:tc>
        <w:tc>
          <w:tcPr>
            <w:tcW w:type="dxa" w:w="6293"/>
          </w:tcPr>
          <w:p>
            <w:pPr>
              <w:spacing w:after="60" w:before="40" w:line="240" w:lineRule="auto"/>
            </w:pPr>
            <w:r>
              <w:rPr>
                <w:rFonts w:ascii="Liberation Sans" w:hAnsi="Liberation Sans"/>
                <w:b w:val="0"/>
                <w:sz w:val="18"/>
              </w:rPr>
              <w:t>Financiación y control material interrelacionados; no se demuestra desembolso ni presentación del borrador.</w:t>
            </w:r>
          </w:p>
        </w:tc>
      </w:tr>
      <w:tr>
        <w:trPr>
          <w:cantSplit/>
        </w:trPr>
        <w:tc>
          <w:tcPr>
            <w:tcW w:type="dxa" w:w="1531"/>
          </w:tcPr>
          <w:p>
            <w:pPr>
              <w:spacing w:after="60" w:before="40" w:line="240" w:lineRule="auto"/>
            </w:pPr>
            <w:r>
              <w:rPr>
                <w:rFonts w:ascii="Liberation Sans" w:hAnsi="Liberation Sans"/>
                <w:b w:val="0"/>
                <w:sz w:val="18"/>
              </w:rPr>
              <w:t>25–26-06 / 31-07-2018</w:t>
            </w:r>
          </w:p>
        </w:tc>
        <w:tc>
          <w:tcPr>
            <w:tcW w:type="dxa" w:w="2948"/>
          </w:tcPr>
          <w:p>
            <w:pPr>
              <w:spacing w:after="60" w:before="40" w:line="240" w:lineRule="auto"/>
            </w:pPr>
            <w:r>
              <w:rPr>
                <w:rFonts w:ascii="Liberation Sans" w:hAnsi="Liberation Sans"/>
                <w:b w:val="0"/>
                <w:sz w:val="18"/>
              </w:rPr>
              <w:t>Declaraciones; suspensión parcial; testimonio AC</w:t>
            </w:r>
          </w:p>
        </w:tc>
        <w:tc>
          <w:tcPr>
            <w:tcW w:type="dxa" w:w="1928"/>
          </w:tcPr>
          <w:p>
            <w:pPr>
              <w:spacing w:after="60" w:before="40" w:line="240" w:lineRule="auto"/>
            </w:pPr>
            <w:r>
              <w:rPr>
                <w:rFonts w:ascii="Liberation Sans" w:hAnsi="Liberation Sans"/>
                <w:b w:val="0"/>
                <w:sz w:val="18"/>
              </w:rPr>
              <w:t>Testimonio / resolución posterior referida</w:t>
            </w:r>
          </w:p>
        </w:tc>
        <w:tc>
          <w:tcPr>
            <w:tcW w:type="dxa" w:w="1871"/>
          </w:tcPr>
          <w:p>
            <w:pPr>
              <w:spacing w:after="60" w:before="40" w:line="240" w:lineRule="auto"/>
            </w:pPr>
            <w:r>
              <w:rPr>
                <w:rFonts w:ascii="Liberation Sans" w:hAnsi="Liberation Sans"/>
                <w:b w:val="0"/>
                <w:sz w:val="18"/>
              </w:rPr>
              <w:t>D17; D19 p.4; D16</w:t>
            </w:r>
          </w:p>
        </w:tc>
        <w:tc>
          <w:tcPr>
            <w:tcW w:type="dxa" w:w="6293"/>
          </w:tcPr>
          <w:p>
            <w:pPr>
              <w:spacing w:after="60" w:before="40" w:line="240" w:lineRule="auto"/>
            </w:pPr>
            <w:r>
              <w:rPr>
                <w:rFonts w:ascii="Liberation Sans" w:hAnsi="Liberation Sans"/>
                <w:b w:val="0"/>
                <w:sz w:val="18"/>
              </w:rPr>
              <w:t>AC afirma no adjudicación y acota autorizaciones; la suspensión es posterior al 7 de junio.</w:t>
            </w:r>
          </w:p>
        </w:tc>
      </w:tr>
      <w:tr>
        <w:trPr>
          <w:cantSplit/>
        </w:trPr>
        <w:tc>
          <w:tcPr>
            <w:tcW w:type="dxa" w:w="1531"/>
          </w:tcPr>
          <w:p>
            <w:pPr>
              <w:spacing w:after="60" w:before="40" w:line="240" w:lineRule="auto"/>
            </w:pPr>
            <w:r>
              <w:rPr>
                <w:rFonts w:ascii="Liberation Sans" w:hAnsi="Liberation Sans"/>
                <w:b w:val="0"/>
                <w:sz w:val="18"/>
              </w:rPr>
              <w:t>01-08 / 25–27-09 / 01-10-2018</w:t>
            </w:r>
          </w:p>
        </w:tc>
        <w:tc>
          <w:tcPr>
            <w:tcW w:type="dxa" w:w="2948"/>
          </w:tcPr>
          <w:p>
            <w:pPr>
              <w:spacing w:after="60" w:before="40" w:line="240" w:lineRule="auto"/>
            </w:pPr>
            <w:r>
              <w:rPr>
                <w:rFonts w:ascii="Liberation Sans" w:hAnsi="Liberation Sans"/>
                <w:b w:val="0"/>
                <w:sz w:val="18"/>
              </w:rPr>
              <w:t>Ruta posterior firmada, comunicaciones profesionales y reuniones; documentación de continuidad</w:t>
            </w:r>
          </w:p>
        </w:tc>
        <w:tc>
          <w:tcPr>
            <w:tcW w:type="dxa" w:w="1928"/>
          </w:tcPr>
          <w:p>
            <w:pPr>
              <w:spacing w:after="60" w:before="40" w:line="240" w:lineRule="auto"/>
            </w:pPr>
            <w:r>
              <w:rPr>
                <w:rFonts w:ascii="Liberation Sans" w:hAnsi="Liberation Sans"/>
                <w:b w:val="0"/>
                <w:sz w:val="18"/>
              </w:rPr>
              <w:t>Términos firmados y relatos profesionales</w:t>
            </w:r>
          </w:p>
        </w:tc>
        <w:tc>
          <w:tcPr>
            <w:tcW w:type="dxa" w:w="1871"/>
          </w:tcPr>
          <w:p>
            <w:pPr>
              <w:spacing w:after="60" w:before="40" w:line="240" w:lineRule="auto"/>
            </w:pPr>
            <w:r>
              <w:rPr>
                <w:rFonts w:ascii="Liberation Sans" w:hAnsi="Liberation Sans"/>
                <w:b w:val="0"/>
                <w:sz w:val="18"/>
              </w:rPr>
              <w:t>D31–D35</w:t>
            </w:r>
          </w:p>
        </w:tc>
        <w:tc>
          <w:tcPr>
            <w:tcW w:type="dxa" w:w="6293"/>
          </w:tcPr>
          <w:p>
            <w:pPr>
              <w:spacing w:after="60" w:before="40" w:line="240" w:lineRule="auto"/>
            </w:pPr>
            <w:r>
              <w:rPr>
                <w:rFonts w:ascii="Liberation Sans" w:hAnsi="Liberation Sans"/>
                <w:b w:val="0"/>
                <w:sz w:val="18"/>
              </w:rPr>
              <w:t>Garantías por fases diferenciadas. Instrucciones y condiciones concretas reservadas. Acto judicial, decisiones posteriores y ejecución por comprobar.</w:t>
            </w:r>
          </w:p>
        </w:tc>
      </w:tr>
      <w:tr>
        <w:trPr>
          <w:cantSplit/>
        </w:trPr>
        <w:tc>
          <w:tcPr>
            <w:tcW w:type="dxa" w:w="1531"/>
          </w:tcPr>
          <w:p>
            <w:pPr>
              <w:spacing w:after="60" w:before="40" w:line="240" w:lineRule="auto"/>
            </w:pPr>
            <w:r>
              <w:rPr>
                <w:rFonts w:ascii="Liberation Sans" w:hAnsi="Liberation Sans"/>
                <w:b w:val="0"/>
                <w:sz w:val="18"/>
              </w:rPr>
              <w:t>12-09 / 17-10-2018</w:t>
            </w:r>
          </w:p>
        </w:tc>
        <w:tc>
          <w:tcPr>
            <w:tcW w:type="dxa" w:w="2948"/>
          </w:tcPr>
          <w:p>
            <w:pPr>
              <w:spacing w:after="60" w:before="40" w:line="240" w:lineRule="auto"/>
            </w:pPr>
            <w:r>
              <w:rPr>
                <w:rFonts w:ascii="Liberation Sans" w:hAnsi="Liberation Sans"/>
                <w:b w:val="0"/>
                <w:sz w:val="18"/>
              </w:rPr>
              <w:t>Denuncia y entrada DI 248 por cotejar</w:t>
            </w:r>
          </w:p>
        </w:tc>
        <w:tc>
          <w:tcPr>
            <w:tcW w:type="dxa" w:w="1928"/>
          </w:tcPr>
          <w:p>
            <w:pPr>
              <w:spacing w:after="60" w:before="40" w:line="240" w:lineRule="auto"/>
            </w:pPr>
            <w:r>
              <w:rPr>
                <w:rFonts w:ascii="Liberation Sans" w:hAnsi="Liberation Sans"/>
                <w:b w:val="0"/>
                <w:sz w:val="18"/>
              </w:rPr>
              <w:t>Alegación / cronología de recepción abierta</w:t>
            </w:r>
          </w:p>
        </w:tc>
        <w:tc>
          <w:tcPr>
            <w:tcW w:type="dxa" w:w="1871"/>
          </w:tcPr>
          <w:p>
            <w:pPr>
              <w:spacing w:after="60" w:before="40" w:line="240" w:lineRule="auto"/>
            </w:pPr>
            <w:r>
              <w:rPr>
                <w:rFonts w:ascii="Liberation Sans" w:hAnsi="Liberation Sans"/>
                <w:b w:val="0"/>
                <w:sz w:val="18"/>
              </w:rPr>
              <w:t>D12; D10; D13</w:t>
            </w:r>
          </w:p>
        </w:tc>
        <w:tc>
          <w:tcPr>
            <w:tcW w:type="dxa" w:w="6293"/>
          </w:tcPr>
          <w:p>
            <w:pPr>
              <w:spacing w:after="60" w:before="40" w:line="240" w:lineRule="auto"/>
            </w:pPr>
            <w:r>
              <w:rPr>
                <w:rFonts w:ascii="Liberation Sans" w:hAnsi="Liberation Sans"/>
                <w:b w:val="0"/>
                <w:sz w:val="18"/>
              </w:rPr>
              <w:t>La fecha imposible de D10 exige asiento; no corregirla como si el original dijera 2018.</w:t>
            </w:r>
          </w:p>
        </w:tc>
      </w:tr>
      <w:tr>
        <w:trPr>
          <w:cantSplit/>
        </w:trPr>
        <w:tc>
          <w:tcPr>
            <w:tcW w:type="dxa" w:w="1531"/>
          </w:tcPr>
          <w:p>
            <w:pPr>
              <w:spacing w:after="60" w:before="40" w:line="240" w:lineRule="auto"/>
            </w:pPr>
            <w:r>
              <w:rPr>
                <w:rFonts w:ascii="Liberation Sans" w:hAnsi="Liberation Sans"/>
                <w:b w:val="0"/>
                <w:sz w:val="18"/>
              </w:rPr>
              <w:t>13-11-2018</w:t>
            </w:r>
          </w:p>
        </w:tc>
        <w:tc>
          <w:tcPr>
            <w:tcW w:type="dxa" w:w="2948"/>
          </w:tcPr>
          <w:p>
            <w:pPr>
              <w:spacing w:after="60" w:before="40" w:line="240" w:lineRule="auto"/>
            </w:pPr>
            <w:r>
              <w:rPr>
                <w:rFonts w:ascii="Liberation Sans" w:hAnsi="Liberation Sans"/>
                <w:b w:val="0"/>
                <w:sz w:val="18"/>
              </w:rPr>
              <w:t>Auto 804 confirma sobreseimiento provisional DP 1132</w:t>
            </w:r>
          </w:p>
        </w:tc>
        <w:tc>
          <w:tcPr>
            <w:tcW w:type="dxa" w:w="1928"/>
          </w:tcPr>
          <w:p>
            <w:pPr>
              <w:spacing w:after="60" w:before="40" w:line="240" w:lineRule="auto"/>
            </w:pPr>
            <w:r>
              <w:rPr>
                <w:rFonts w:ascii="Liberation Sans" w:hAnsi="Liberation Sans"/>
                <w:b w:val="0"/>
                <w:sz w:val="18"/>
              </w:rPr>
              <w:t>Resolución judicial adversa</w:t>
            </w:r>
          </w:p>
        </w:tc>
        <w:tc>
          <w:tcPr>
            <w:tcW w:type="dxa" w:w="1871"/>
          </w:tcPr>
          <w:p>
            <w:pPr>
              <w:spacing w:after="60" w:before="40" w:line="240" w:lineRule="auto"/>
            </w:pPr>
            <w:r>
              <w:rPr>
                <w:rFonts w:ascii="Liberation Sans" w:hAnsi="Liberation Sans"/>
                <w:b w:val="0"/>
                <w:sz w:val="18"/>
              </w:rPr>
              <w:t>D15</w:t>
            </w:r>
          </w:p>
        </w:tc>
        <w:tc>
          <w:tcPr>
            <w:tcW w:type="dxa" w:w="6293"/>
          </w:tcPr>
          <w:p>
            <w:pPr>
              <w:spacing w:after="60" w:before="40" w:line="240" w:lineRule="auto"/>
            </w:pPr>
            <w:r>
              <w:rPr>
                <w:rFonts w:ascii="Liberation Sans" w:hAnsi="Liberation Sans"/>
                <w:b w:val="0"/>
                <w:sz w:val="18"/>
              </w:rPr>
              <w:t>Identificar hechos ya investigados y su alcance antes de pedir diligencias.</w:t>
            </w:r>
          </w:p>
        </w:tc>
      </w:tr>
      <w:tr>
        <w:trPr>
          <w:cantSplit/>
        </w:trPr>
        <w:tc>
          <w:tcPr>
            <w:tcW w:type="dxa" w:w="1531"/>
          </w:tcPr>
          <w:p>
            <w:pPr>
              <w:spacing w:after="60" w:before="40" w:line="240" w:lineRule="auto"/>
            </w:pPr>
            <w:r>
              <w:rPr>
                <w:rFonts w:ascii="Liberation Sans" w:hAnsi="Liberation Sans"/>
                <w:b w:val="0"/>
                <w:sz w:val="18"/>
              </w:rPr>
              <w:t>28-11 / 12-12-2018</w:t>
            </w:r>
          </w:p>
        </w:tc>
        <w:tc>
          <w:tcPr>
            <w:tcW w:type="dxa" w:w="2948"/>
          </w:tcPr>
          <w:p>
            <w:pPr>
              <w:spacing w:after="60" w:before="40" w:line="240" w:lineRule="auto"/>
            </w:pPr>
            <w:r>
              <w:rPr>
                <w:rFonts w:ascii="Liberation Sans" w:hAnsi="Liberation Sans"/>
                <w:b w:val="0"/>
                <w:sz w:val="18"/>
              </w:rPr>
              <w:t>Protocolo 2150 locales y dirección procesal posterior</w:t>
            </w:r>
          </w:p>
        </w:tc>
        <w:tc>
          <w:tcPr>
            <w:tcW w:type="dxa" w:w="1928"/>
          </w:tcPr>
          <w:p>
            <w:pPr>
              <w:spacing w:after="60" w:before="40" w:line="240" w:lineRule="auto"/>
            </w:pPr>
            <w:r>
              <w:rPr>
                <w:rFonts w:ascii="Liberation Sans" w:hAnsi="Liberation Sans"/>
                <w:b w:val="0"/>
                <w:sz w:val="18"/>
              </w:rPr>
              <w:t>Actos recogidos en resolución</w:t>
            </w:r>
          </w:p>
        </w:tc>
        <w:tc>
          <w:tcPr>
            <w:tcW w:type="dxa" w:w="1871"/>
          </w:tcPr>
          <w:p>
            <w:pPr>
              <w:spacing w:after="60" w:before="40" w:line="240" w:lineRule="auto"/>
            </w:pPr>
            <w:r>
              <w:rPr>
                <w:rFonts w:ascii="Liberation Sans" w:hAnsi="Liberation Sans"/>
                <w:b w:val="0"/>
                <w:sz w:val="18"/>
              </w:rPr>
              <w:t>D19; D20</w:t>
            </w:r>
          </w:p>
        </w:tc>
        <w:tc>
          <w:tcPr>
            <w:tcW w:type="dxa" w:w="6293"/>
          </w:tcPr>
          <w:p>
            <w:pPr>
              <w:spacing w:after="60" w:before="40" w:line="240" w:lineRule="auto"/>
            </w:pPr>
            <w:r>
              <w:rPr>
                <w:rFonts w:ascii="Liberation Sans" w:hAnsi="Liberation Sans"/>
                <w:b w:val="0"/>
                <w:sz w:val="18"/>
              </w:rPr>
              <w:t>Transmisión separada y situación ob rem; no confundir con dación de apartamentos.</w:t>
            </w:r>
          </w:p>
        </w:tc>
      </w:tr>
      <w:tr>
        <w:trPr>
          <w:cantSplit/>
        </w:trPr>
        <w:tc>
          <w:tcPr>
            <w:tcW w:type="dxa" w:w="1531"/>
          </w:tcPr>
          <w:p>
            <w:pPr>
              <w:spacing w:after="60" w:before="40" w:line="240" w:lineRule="auto"/>
            </w:pPr>
            <w:r>
              <w:rPr>
                <w:rFonts w:ascii="Liberation Sans" w:hAnsi="Liberation Sans"/>
                <w:b w:val="0"/>
                <w:sz w:val="18"/>
              </w:rPr>
              <w:t>14–15-01 / 06–07-02 / 12-02-2019</w:t>
            </w:r>
          </w:p>
        </w:tc>
        <w:tc>
          <w:tcPr>
            <w:tcW w:type="dxa" w:w="2948"/>
          </w:tcPr>
          <w:p>
            <w:pPr>
              <w:spacing w:after="60" w:before="40" w:line="240" w:lineRule="auto"/>
            </w:pPr>
            <w:r>
              <w:rPr>
                <w:rFonts w:ascii="Liberation Sans" w:hAnsi="Liberation Sans"/>
                <w:b w:val="0"/>
                <w:sz w:val="18"/>
              </w:rPr>
              <w:t>Ampliaciones DI 248 y adenda Clubotel</w:t>
            </w:r>
          </w:p>
        </w:tc>
        <w:tc>
          <w:tcPr>
            <w:tcW w:type="dxa" w:w="1928"/>
          </w:tcPr>
          <w:p>
            <w:pPr>
              <w:spacing w:after="60" w:before="40" w:line="240" w:lineRule="auto"/>
            </w:pPr>
            <w:r>
              <w:rPr>
                <w:rFonts w:ascii="Liberation Sans" w:hAnsi="Liberation Sans"/>
                <w:b w:val="0"/>
                <w:sz w:val="18"/>
              </w:rPr>
              <w:t>Alegaciones / manifestaciones contractuales</w:t>
            </w:r>
          </w:p>
        </w:tc>
        <w:tc>
          <w:tcPr>
            <w:tcW w:type="dxa" w:w="1871"/>
          </w:tcPr>
          <w:p>
            <w:pPr>
              <w:spacing w:after="60" w:before="40" w:line="240" w:lineRule="auto"/>
            </w:pPr>
            <w:r>
              <w:rPr>
                <w:rFonts w:ascii="Liberation Sans" w:hAnsi="Liberation Sans"/>
                <w:b w:val="0"/>
                <w:sz w:val="18"/>
              </w:rPr>
              <w:t>D13–D14; D28</w:t>
            </w:r>
          </w:p>
        </w:tc>
        <w:tc>
          <w:tcPr>
            <w:tcW w:type="dxa" w:w="6293"/>
          </w:tcPr>
          <w:p>
            <w:pPr>
              <w:spacing w:after="60" w:before="40" w:line="240" w:lineRule="auto"/>
            </w:pPr>
            <w:r>
              <w:rPr>
                <w:rFonts w:ascii="Liberation Sans" w:hAnsi="Liberation Sans"/>
                <w:b w:val="0"/>
                <w:sz w:val="18"/>
              </w:rPr>
              <w:t>Amplían objeto conocido y describen deterioro; no identifican por sí solas responsabilidad.</w:t>
            </w:r>
          </w:p>
        </w:tc>
      </w:tr>
      <w:tr>
        <w:trPr>
          <w:cantSplit/>
        </w:trPr>
        <w:tc>
          <w:tcPr>
            <w:tcW w:type="dxa" w:w="1531"/>
          </w:tcPr>
          <w:p>
            <w:pPr>
              <w:spacing w:after="60" w:before="40" w:line="240" w:lineRule="auto"/>
            </w:pPr>
            <w:r>
              <w:rPr>
                <w:rFonts w:ascii="Liberation Sans" w:hAnsi="Liberation Sans"/>
                <w:b w:val="0"/>
                <w:sz w:val="18"/>
              </w:rPr>
              <w:t>12-03 / 20-03-2019</w:t>
            </w:r>
          </w:p>
        </w:tc>
        <w:tc>
          <w:tcPr>
            <w:tcW w:type="dxa" w:w="2948"/>
          </w:tcPr>
          <w:p>
            <w:pPr>
              <w:spacing w:after="60" w:before="40" w:line="240" w:lineRule="auto"/>
            </w:pPr>
            <w:r>
              <w:rPr>
                <w:rFonts w:ascii="Liberation Sans" w:hAnsi="Liberation Sans"/>
                <w:b w:val="0"/>
                <w:sz w:val="18"/>
              </w:rPr>
              <w:t>Informe de calificación y solicitud de convalidación</w:t>
            </w:r>
          </w:p>
        </w:tc>
        <w:tc>
          <w:tcPr>
            <w:tcW w:type="dxa" w:w="1928"/>
          </w:tcPr>
          <w:p>
            <w:pPr>
              <w:spacing w:after="60" w:before="40" w:line="240" w:lineRule="auto"/>
            </w:pPr>
            <w:r>
              <w:rPr>
                <w:rFonts w:ascii="Liberation Sans" w:hAnsi="Liberation Sans"/>
                <w:b w:val="0"/>
                <w:sz w:val="18"/>
              </w:rPr>
              <w:t>Posición fiscal / escrito AC</w:t>
            </w:r>
          </w:p>
        </w:tc>
        <w:tc>
          <w:tcPr>
            <w:tcW w:type="dxa" w:w="1871"/>
          </w:tcPr>
          <w:p>
            <w:pPr>
              <w:spacing w:after="60" w:before="40" w:line="240" w:lineRule="auto"/>
            </w:pPr>
            <w:r>
              <w:rPr>
                <w:rFonts w:ascii="Liberation Sans" w:hAnsi="Liberation Sans"/>
                <w:b w:val="0"/>
                <w:sz w:val="18"/>
              </w:rPr>
              <w:t>D11; D20</w:t>
            </w:r>
          </w:p>
        </w:tc>
        <w:tc>
          <w:tcPr>
            <w:tcW w:type="dxa" w:w="6293"/>
          </w:tcPr>
          <w:p>
            <w:pPr>
              <w:spacing w:after="60" w:before="40" w:line="240" w:lineRule="auto"/>
            </w:pPr>
            <w:r>
              <w:rPr>
                <w:rFonts w:ascii="Liberation Sans" w:hAnsi="Liberation Sans"/>
                <w:b w:val="0"/>
                <w:sz w:val="18"/>
              </w:rPr>
              <w:t>Ambos preceden al archivo DI 248; debe comprobarse qué recibió y consultó su autora.</w:t>
            </w:r>
          </w:p>
        </w:tc>
      </w:tr>
      <w:tr>
        <w:trPr>
          <w:cantSplit/>
        </w:trPr>
        <w:tc>
          <w:tcPr>
            <w:tcW w:type="dxa" w:w="1531"/>
          </w:tcPr>
          <w:p>
            <w:pPr>
              <w:spacing w:after="60" w:before="40" w:line="240" w:lineRule="auto"/>
            </w:pPr>
            <w:r>
              <w:rPr>
                <w:rFonts w:ascii="Liberation Sans" w:hAnsi="Liberation Sans"/>
                <w:b w:val="0"/>
                <w:sz w:val="18"/>
              </w:rPr>
              <w:t>07-05 / 16-05-2019</w:t>
            </w:r>
          </w:p>
        </w:tc>
        <w:tc>
          <w:tcPr>
            <w:tcW w:type="dxa" w:w="2948"/>
          </w:tcPr>
          <w:p>
            <w:pPr>
              <w:spacing w:after="60" w:before="40" w:line="240" w:lineRule="auto"/>
            </w:pPr>
            <w:r>
              <w:rPr>
                <w:rFonts w:ascii="Liberation Sans" w:hAnsi="Liberation Sans"/>
                <w:b w:val="0"/>
                <w:sz w:val="18"/>
              </w:rPr>
              <w:t>Archivo DI 248 y notificación</w:t>
            </w:r>
          </w:p>
        </w:tc>
        <w:tc>
          <w:tcPr>
            <w:tcW w:type="dxa" w:w="1928"/>
          </w:tcPr>
          <w:p>
            <w:pPr>
              <w:spacing w:after="60" w:before="40" w:line="240" w:lineRule="auto"/>
            </w:pPr>
            <w:r>
              <w:rPr>
                <w:rFonts w:ascii="Liberation Sans" w:hAnsi="Liberation Sans"/>
                <w:b w:val="0"/>
                <w:sz w:val="18"/>
              </w:rPr>
              <w:t>Acto fiscal documentado</w:t>
            </w:r>
          </w:p>
        </w:tc>
        <w:tc>
          <w:tcPr>
            <w:tcW w:type="dxa" w:w="1871"/>
          </w:tcPr>
          <w:p>
            <w:pPr>
              <w:spacing w:after="60" w:before="40" w:line="240" w:lineRule="auto"/>
            </w:pPr>
            <w:r>
              <w:rPr>
                <w:rFonts w:ascii="Liberation Sans" w:hAnsi="Liberation Sans"/>
                <w:b w:val="0"/>
                <w:sz w:val="18"/>
              </w:rPr>
              <w:t>D10</w:t>
            </w:r>
          </w:p>
        </w:tc>
        <w:tc>
          <w:tcPr>
            <w:tcW w:type="dxa" w:w="6293"/>
          </w:tcPr>
          <w:p>
            <w:pPr>
              <w:spacing w:after="60" w:before="40" w:line="240" w:lineRule="auto"/>
            </w:pPr>
            <w:r>
              <w:rPr>
                <w:rFonts w:ascii="Liberation Sans" w:hAnsi="Liberation Sans"/>
                <w:b w:val="0"/>
                <w:sz w:val="18"/>
              </w:rPr>
              <w:t>Usa este Ministerio y dación; fecha de título y contenido consultado pendientes.</w:t>
            </w:r>
          </w:p>
        </w:tc>
      </w:tr>
      <w:tr>
        <w:trPr>
          <w:cantSplit/>
        </w:trPr>
        <w:tc>
          <w:tcPr>
            <w:tcW w:type="dxa" w:w="1531"/>
          </w:tcPr>
          <w:p>
            <w:pPr>
              <w:spacing w:after="60" w:before="40" w:line="240" w:lineRule="auto"/>
            </w:pPr>
            <w:r>
              <w:rPr>
                <w:rFonts w:ascii="Liberation Sans" w:hAnsi="Liberation Sans"/>
                <w:b w:val="0"/>
                <w:sz w:val="18"/>
              </w:rPr>
              <w:t>23-07 / 24-10-2019</w:t>
            </w:r>
          </w:p>
        </w:tc>
        <w:tc>
          <w:tcPr>
            <w:tcW w:type="dxa" w:w="2948"/>
          </w:tcPr>
          <w:p>
            <w:pPr>
              <w:spacing w:after="60" w:before="40" w:line="240" w:lineRule="auto"/>
            </w:pPr>
            <w:r>
              <w:rPr>
                <w:rFonts w:ascii="Liberation Sans" w:hAnsi="Liberation Sans"/>
                <w:b w:val="0"/>
                <w:sz w:val="18"/>
              </w:rPr>
              <w:t>Decisión AP referida y rechazo de convalidación</w:t>
            </w:r>
          </w:p>
        </w:tc>
        <w:tc>
          <w:tcPr>
            <w:tcW w:type="dxa" w:w="1928"/>
          </w:tcPr>
          <w:p>
            <w:pPr>
              <w:spacing w:after="60" w:before="40" w:line="240" w:lineRule="auto"/>
            </w:pPr>
            <w:r>
              <w:rPr>
                <w:rFonts w:ascii="Liberation Sans" w:hAnsi="Liberation Sans"/>
                <w:b w:val="0"/>
                <w:sz w:val="18"/>
              </w:rPr>
              <w:t>Resolución judicial</w:t>
            </w:r>
          </w:p>
        </w:tc>
        <w:tc>
          <w:tcPr>
            <w:tcW w:type="dxa" w:w="1871"/>
          </w:tcPr>
          <w:p>
            <w:pPr>
              <w:spacing w:after="60" w:before="40" w:line="240" w:lineRule="auto"/>
            </w:pPr>
            <w:r>
              <w:rPr>
                <w:rFonts w:ascii="Liberation Sans" w:hAnsi="Liberation Sans"/>
                <w:b w:val="0"/>
                <w:sz w:val="18"/>
              </w:rPr>
              <w:t>D19</w:t>
            </w:r>
          </w:p>
        </w:tc>
        <w:tc>
          <w:tcPr>
            <w:tcW w:type="dxa" w:w="6293"/>
          </w:tcPr>
          <w:p>
            <w:pPr>
              <w:spacing w:after="60" w:before="40" w:line="240" w:lineRule="auto"/>
            </w:pPr>
            <w:r>
              <w:rPr>
                <w:rFonts w:ascii="Liberation Sans" w:hAnsi="Liberation Sans"/>
                <w:b w:val="0"/>
                <w:sz w:val="18"/>
              </w:rPr>
              <w:t>La corrección judicial posterior cambia la lectura de supervisión; no prueba conocimiento anterior.</w:t>
            </w:r>
          </w:p>
        </w:tc>
      </w:tr>
      <w:tr>
        <w:trPr>
          <w:cantSplit/>
        </w:trPr>
        <w:tc>
          <w:tcPr>
            <w:tcW w:type="dxa" w:w="1531"/>
          </w:tcPr>
          <w:p>
            <w:pPr>
              <w:spacing w:after="60" w:before="40" w:line="240" w:lineRule="auto"/>
            </w:pPr>
            <w:r>
              <w:rPr>
                <w:rFonts w:ascii="Liberation Sans" w:hAnsi="Liberation Sans"/>
                <w:b w:val="0"/>
                <w:sz w:val="18"/>
              </w:rPr>
              <w:t>2020–2021</w:t>
            </w:r>
          </w:p>
        </w:tc>
        <w:tc>
          <w:tcPr>
            <w:tcW w:type="dxa" w:w="2948"/>
          </w:tcPr>
          <w:p>
            <w:pPr>
              <w:spacing w:after="60" w:before="40" w:line="240" w:lineRule="auto"/>
            </w:pPr>
            <w:r>
              <w:rPr>
                <w:rFonts w:ascii="Liberation Sans" w:hAnsi="Liberation Sans"/>
                <w:b w:val="0"/>
                <w:sz w:val="18"/>
              </w:rPr>
              <w:t>Representaciones comerciales y aviso a autoridades</w:t>
            </w:r>
          </w:p>
        </w:tc>
        <w:tc>
          <w:tcPr>
            <w:tcW w:type="dxa" w:w="1928"/>
          </w:tcPr>
          <w:p>
            <w:pPr>
              <w:spacing w:after="60" w:before="40" w:line="240" w:lineRule="auto"/>
            </w:pPr>
            <w:r>
              <w:rPr>
                <w:rFonts w:ascii="Liberation Sans" w:hAnsi="Liberation Sans"/>
                <w:b w:val="0"/>
                <w:sz w:val="18"/>
              </w:rPr>
              <w:t>Alegaciones posteriores y fuentes de continuidad</w:t>
            </w:r>
          </w:p>
        </w:tc>
        <w:tc>
          <w:tcPr>
            <w:tcW w:type="dxa" w:w="1871"/>
          </w:tcPr>
          <w:p>
            <w:pPr>
              <w:spacing w:after="60" w:before="40" w:line="240" w:lineRule="auto"/>
            </w:pPr>
            <w:r>
              <w:rPr>
                <w:rFonts w:ascii="Liberation Sans" w:hAnsi="Liberation Sans"/>
                <w:b w:val="0"/>
                <w:sz w:val="18"/>
              </w:rPr>
              <w:t>D3; registros canónicos; P07</w:t>
            </w:r>
          </w:p>
        </w:tc>
        <w:tc>
          <w:tcPr>
            <w:tcW w:type="dxa" w:w="6293"/>
          </w:tcPr>
          <w:p>
            <w:pPr>
              <w:spacing w:after="60" w:before="40" w:line="240" w:lineRule="auto"/>
            </w:pPr>
            <w:r>
              <w:rPr>
                <w:rFonts w:ascii="Liberation Sans" w:hAnsi="Liberation Sans"/>
                <w:b w:val="0"/>
                <w:sz w:val="18"/>
              </w:rPr>
              <w:t>CNMV/AEAT/administración solo si documento concreto conecta título, uso, destinatario y decisión.</w:t>
            </w:r>
          </w:p>
        </w:tc>
      </w:tr>
      <w:tr>
        <w:trPr>
          <w:cantSplit/>
        </w:trPr>
        <w:tc>
          <w:tcPr>
            <w:tcW w:type="dxa" w:w="1531"/>
          </w:tcPr>
          <w:p>
            <w:pPr>
              <w:spacing w:after="60" w:before="40" w:line="240" w:lineRule="auto"/>
            </w:pPr>
            <w:r>
              <w:rPr>
                <w:rFonts w:ascii="Liberation Sans" w:hAnsi="Liberation Sans"/>
                <w:b w:val="0"/>
                <w:sz w:val="18"/>
              </w:rPr>
              <w:t>25–29-01 / 12-02 / 18-05-2021</w:t>
            </w:r>
          </w:p>
        </w:tc>
        <w:tc>
          <w:tcPr>
            <w:tcW w:type="dxa" w:w="2948"/>
          </w:tcPr>
          <w:p>
            <w:pPr>
              <w:spacing w:after="60" w:before="40" w:line="240" w:lineRule="auto"/>
            </w:pPr>
            <w:r>
              <w:rPr>
                <w:rFonts w:ascii="Liberation Sans" w:hAnsi="Liberation Sans"/>
                <w:b w:val="0"/>
                <w:sz w:val="18"/>
              </w:rPr>
              <w:t>Publicidad, recepción oferta Ottawa, autorización definitiva</w:t>
            </w:r>
          </w:p>
        </w:tc>
        <w:tc>
          <w:tcPr>
            <w:tcW w:type="dxa" w:w="1928"/>
          </w:tcPr>
          <w:p>
            <w:pPr>
              <w:spacing w:after="60" w:before="40" w:line="240" w:lineRule="auto"/>
            </w:pPr>
            <w:r>
              <w:rPr>
                <w:rFonts w:ascii="Liberation Sans" w:hAnsi="Liberation Sans"/>
                <w:b w:val="0"/>
                <w:sz w:val="18"/>
              </w:rPr>
              <w:t>Actos judiciales relatados / Auto primario</w:t>
            </w:r>
          </w:p>
        </w:tc>
        <w:tc>
          <w:tcPr>
            <w:tcW w:type="dxa" w:w="1871"/>
          </w:tcPr>
          <w:p>
            <w:pPr>
              <w:spacing w:after="60" w:before="40" w:line="240" w:lineRule="auto"/>
            </w:pPr>
            <w:r>
              <w:rPr>
                <w:rFonts w:ascii="Liberation Sans" w:hAnsi="Liberation Sans"/>
                <w:b w:val="0"/>
                <w:sz w:val="18"/>
              </w:rPr>
              <w:t>D21; CAM-TRX-18/19/20/24</w:t>
            </w:r>
          </w:p>
        </w:tc>
        <w:tc>
          <w:tcPr>
            <w:tcW w:type="dxa" w:w="6293"/>
          </w:tcPr>
          <w:p>
            <w:pPr>
              <w:spacing w:after="60" w:before="40" w:line="240" w:lineRule="auto"/>
            </w:pPr>
            <w:r>
              <w:rPr>
                <w:rFonts w:ascii="Liberation Sans" w:hAnsi="Liberation Sans"/>
                <w:b w:val="0"/>
                <w:sz w:val="18"/>
              </w:rPr>
              <w:t>D21 acredita recepción judicial de Ottawa el 12 de febrero y razones de continuación; no afirmar inexistencia de toda oferta.</w:t>
            </w:r>
          </w:p>
        </w:tc>
      </w:tr>
      <w:tr>
        <w:trPr>
          <w:cantSplit/>
        </w:trPr>
        <w:tc>
          <w:tcPr>
            <w:tcW w:type="dxa" w:w="1531"/>
          </w:tcPr>
          <w:p>
            <w:pPr>
              <w:spacing w:after="60" w:before="40" w:line="240" w:lineRule="auto"/>
            </w:pPr>
            <w:r>
              <w:rPr>
                <w:rFonts w:ascii="Liberation Sans" w:hAnsi="Liberation Sans"/>
                <w:b w:val="0"/>
                <w:sz w:val="18"/>
              </w:rPr>
              <w:t>15-10-2021 / enero 2022 / 21-02-2022</w:t>
            </w:r>
          </w:p>
        </w:tc>
        <w:tc>
          <w:tcPr>
            <w:tcW w:type="dxa" w:w="2948"/>
          </w:tcPr>
          <w:p>
            <w:pPr>
              <w:spacing w:after="60" w:before="40" w:line="240" w:lineRule="auto"/>
            </w:pPr>
            <w:r>
              <w:rPr>
                <w:rFonts w:ascii="Liberation Sans" w:hAnsi="Liberation Sans"/>
                <w:b w:val="0"/>
                <w:sz w:val="18"/>
              </w:rPr>
              <w:t>Confirmaciones y protocolo 457</w:t>
            </w:r>
          </w:p>
        </w:tc>
        <w:tc>
          <w:tcPr>
            <w:tcW w:type="dxa" w:w="1928"/>
          </w:tcPr>
          <w:p>
            <w:pPr>
              <w:spacing w:after="60" w:before="40" w:line="240" w:lineRule="auto"/>
            </w:pPr>
            <w:r>
              <w:rPr>
                <w:rFonts w:ascii="Liberation Sans" w:hAnsi="Liberation Sans"/>
                <w:b w:val="0"/>
                <w:sz w:val="18"/>
              </w:rPr>
              <w:t>Recital notarial y ejecución documentada</w:t>
            </w:r>
          </w:p>
        </w:tc>
        <w:tc>
          <w:tcPr>
            <w:tcW w:type="dxa" w:w="1871"/>
          </w:tcPr>
          <w:p>
            <w:pPr>
              <w:spacing w:after="60" w:before="40" w:line="240" w:lineRule="auto"/>
            </w:pPr>
            <w:r>
              <w:rPr>
                <w:rFonts w:ascii="Liberation Sans" w:hAnsi="Liberation Sans"/>
                <w:b w:val="0"/>
                <w:sz w:val="18"/>
              </w:rPr>
              <w:t>D22</w:t>
            </w:r>
          </w:p>
        </w:tc>
        <w:tc>
          <w:tcPr>
            <w:tcW w:type="dxa" w:w="6293"/>
          </w:tcPr>
          <w:p>
            <w:pPr>
              <w:spacing w:after="60" w:before="40" w:line="240" w:lineRule="auto"/>
            </w:pPr>
            <w:r>
              <w:rPr>
                <w:rFonts w:ascii="Liberation Sans" w:hAnsi="Liberation Sans"/>
                <w:b w:val="0"/>
                <w:sz w:val="18"/>
              </w:rPr>
              <w:t>D22 recita 22-01; registro canónico distingue autos 26-01. Cotejo fecha/acto/notificación pendiente.</w:t>
            </w:r>
          </w:p>
        </w:tc>
      </w:tr>
      <w:tr>
        <w:trPr>
          <w:cantSplit/>
        </w:trPr>
        <w:tc>
          <w:tcPr>
            <w:tcW w:type="dxa" w:w="1531"/>
          </w:tcPr>
          <w:p>
            <w:pPr>
              <w:spacing w:after="60" w:before="40" w:line="240" w:lineRule="auto"/>
            </w:pPr>
            <w:r>
              <w:rPr>
                <w:rFonts w:ascii="Liberation Sans" w:hAnsi="Liberation Sans"/>
                <w:b w:val="0"/>
                <w:sz w:val="18"/>
              </w:rPr>
              <w:t>25-07 / 28-09-2023</w:t>
            </w:r>
          </w:p>
        </w:tc>
        <w:tc>
          <w:tcPr>
            <w:tcW w:type="dxa" w:w="2948"/>
          </w:tcPr>
          <w:p>
            <w:pPr>
              <w:spacing w:after="60" w:before="40" w:line="240" w:lineRule="auto"/>
            </w:pPr>
            <w:r>
              <w:rPr>
                <w:rFonts w:ascii="Liberation Sans" w:hAnsi="Liberation Sans"/>
                <w:b w:val="0"/>
                <w:sz w:val="18"/>
              </w:rPr>
              <w:t>Vista y Sentencia 163 de calificación; apelación</w:t>
            </w:r>
          </w:p>
        </w:tc>
        <w:tc>
          <w:tcPr>
            <w:tcW w:type="dxa" w:w="1928"/>
          </w:tcPr>
          <w:p>
            <w:pPr>
              <w:spacing w:after="60" w:before="40" w:line="240" w:lineRule="auto"/>
            </w:pPr>
            <w:r>
              <w:rPr>
                <w:rFonts w:ascii="Liberation Sans" w:hAnsi="Liberation Sans"/>
                <w:b w:val="0"/>
                <w:sz w:val="18"/>
              </w:rPr>
              <w:t>Antecedente de continuidad, originales por completar aquí</w:t>
            </w:r>
          </w:p>
        </w:tc>
        <w:tc>
          <w:tcPr>
            <w:tcW w:type="dxa" w:w="1871"/>
          </w:tcPr>
          <w:p>
            <w:pPr>
              <w:spacing w:after="60" w:before="40" w:line="240" w:lineRule="auto"/>
            </w:pPr>
            <w:r>
              <w:rPr>
                <w:rFonts w:ascii="Liberation Sans" w:hAnsi="Liberation Sans"/>
                <w:b w:val="0"/>
                <w:sz w:val="18"/>
              </w:rPr>
              <w:t>RPL 2523; I06</w:t>
            </w:r>
          </w:p>
        </w:tc>
        <w:tc>
          <w:tcPr>
            <w:tcW w:type="dxa" w:w="6293"/>
          </w:tcPr>
          <w:p>
            <w:pPr>
              <w:spacing w:after="60" w:before="40" w:line="240" w:lineRule="auto"/>
            </w:pPr>
            <w:r>
              <w:rPr>
                <w:rFonts w:ascii="Liberation Sans" w:hAnsi="Liberation Sans"/>
                <w:b w:val="0"/>
                <w:sz w:val="18"/>
              </w:rPr>
              <w:t>Identidad fiscal, grabación y tratamiento de prueba se verifican por actos. Sentencia adversa no equivale a validación de todas las acusaciones.</w:t>
            </w:r>
          </w:p>
        </w:tc>
      </w:tr>
      <w:tr>
        <w:trPr>
          <w:cantSplit/>
        </w:trPr>
        <w:tc>
          <w:tcPr>
            <w:tcW w:type="dxa" w:w="1531"/>
          </w:tcPr>
          <w:p>
            <w:pPr>
              <w:spacing w:after="60" w:before="40" w:line="240" w:lineRule="auto"/>
            </w:pPr>
            <w:r>
              <w:rPr>
                <w:rFonts w:ascii="Liberation Sans" w:hAnsi="Liberation Sans"/>
                <w:b w:val="0"/>
                <w:sz w:val="18"/>
              </w:rPr>
              <w:t>Febrero–marzo 2026</w:t>
            </w:r>
          </w:p>
        </w:tc>
        <w:tc>
          <w:tcPr>
            <w:tcW w:type="dxa" w:w="2948"/>
          </w:tcPr>
          <w:p>
            <w:pPr>
              <w:spacing w:after="60" w:before="40" w:line="240" w:lineRule="auto"/>
            </w:pPr>
            <w:r>
              <w:rPr>
                <w:rFonts w:ascii="Liberation Sans" w:hAnsi="Liberation Sans"/>
                <w:b w:val="0"/>
                <w:sz w:val="18"/>
              </w:rPr>
              <w:t>DI 22 y DIP 2; aviso de apelación</w:t>
            </w:r>
          </w:p>
        </w:tc>
        <w:tc>
          <w:tcPr>
            <w:tcW w:type="dxa" w:w="1928"/>
          </w:tcPr>
          <w:p>
            <w:pPr>
              <w:spacing w:after="60" w:before="40" w:line="240" w:lineRule="auto"/>
            </w:pPr>
            <w:r>
              <w:rPr>
                <w:rFonts w:ascii="Liberation Sans" w:hAnsi="Liberation Sans"/>
                <w:b w:val="0"/>
                <w:sz w:val="18"/>
              </w:rPr>
              <w:t>Actos y comunicación</w:t>
            </w:r>
          </w:p>
        </w:tc>
        <w:tc>
          <w:tcPr>
            <w:tcW w:type="dxa" w:w="1871"/>
          </w:tcPr>
          <w:p>
            <w:pPr>
              <w:spacing w:after="60" w:before="40" w:line="240" w:lineRule="auto"/>
            </w:pPr>
            <w:r>
              <w:rPr>
                <w:rFonts w:ascii="Liberation Sans" w:hAnsi="Liberation Sans"/>
                <w:b w:val="0"/>
                <w:sz w:val="18"/>
              </w:rPr>
              <w:t>D4–D5; D7</w:t>
            </w:r>
          </w:p>
        </w:tc>
        <w:tc>
          <w:tcPr>
            <w:tcW w:type="dxa" w:w="6293"/>
          </w:tcPr>
          <w:p>
            <w:pPr>
              <w:spacing w:after="60" w:before="40" w:line="240" w:lineRule="auto"/>
            </w:pPr>
            <w:r>
              <w:rPr>
                <w:rFonts w:ascii="Liberation Sans" w:hAnsi="Liberation Sans"/>
                <w:b w:val="0"/>
                <w:sz w:val="18"/>
              </w:rPr>
              <w:t>Separar archivo penal, incorporación y mera remisión.</w:t>
            </w:r>
          </w:p>
        </w:tc>
      </w:tr>
      <w:tr>
        <w:trPr>
          <w:cantSplit/>
        </w:trPr>
        <w:tc>
          <w:tcPr>
            <w:tcW w:type="dxa" w:w="1531"/>
          </w:tcPr>
          <w:p>
            <w:pPr>
              <w:spacing w:after="60" w:before="40" w:line="240" w:lineRule="auto"/>
            </w:pPr>
            <w:r>
              <w:rPr>
                <w:rFonts w:ascii="Liberation Sans" w:hAnsi="Liberation Sans"/>
                <w:b w:val="0"/>
                <w:sz w:val="18"/>
              </w:rPr>
              <w:t>Julio–agosto 2026</w:t>
            </w:r>
          </w:p>
        </w:tc>
        <w:tc>
          <w:tcPr>
            <w:tcW w:type="dxa" w:w="2948"/>
          </w:tcPr>
          <w:p>
            <w:pPr>
              <w:spacing w:after="60" w:before="40" w:line="240" w:lineRule="auto"/>
            </w:pPr>
            <w:r>
              <w:rPr>
                <w:rFonts w:ascii="Liberation Sans" w:hAnsi="Liberation Sans"/>
                <w:b w:val="0"/>
                <w:sz w:val="18"/>
              </w:rPr>
              <w:t>DP 1901, requerimiento, registro, traslado y archivo EG 745</w:t>
            </w:r>
          </w:p>
        </w:tc>
        <w:tc>
          <w:tcPr>
            <w:tcW w:type="dxa" w:w="1928"/>
          </w:tcPr>
          <w:p>
            <w:pPr>
              <w:spacing w:after="60" w:before="40" w:line="240" w:lineRule="auto"/>
            </w:pPr>
            <w:r>
              <w:rPr>
                <w:rFonts w:ascii="Liberation Sans" w:hAnsi="Liberation Sans"/>
                <w:b w:val="0"/>
                <w:sz w:val="18"/>
              </w:rPr>
              <w:t>Actos / alegación / recepción</w:t>
            </w:r>
          </w:p>
        </w:tc>
        <w:tc>
          <w:tcPr>
            <w:tcW w:type="dxa" w:w="1871"/>
          </w:tcPr>
          <w:p>
            <w:pPr>
              <w:spacing w:after="60" w:before="40" w:line="240" w:lineRule="auto"/>
            </w:pPr>
            <w:r>
              <w:rPr>
                <w:rFonts w:ascii="Liberation Sans" w:hAnsi="Liberation Sans"/>
                <w:b w:val="0"/>
                <w:sz w:val="18"/>
              </w:rPr>
              <w:t>D1–D3; D8–D9</w:t>
            </w:r>
          </w:p>
        </w:tc>
        <w:tc>
          <w:tcPr>
            <w:tcW w:type="dxa" w:w="6293"/>
          </w:tcPr>
          <w:p>
            <w:pPr>
              <w:spacing w:after="60" w:before="40" w:line="240" w:lineRule="auto"/>
            </w:pPr>
            <w:r>
              <w:rPr>
                <w:rFonts w:ascii="Liberation Sans" w:hAnsi="Liberation Sans"/>
                <w:b w:val="0"/>
                <w:sz w:val="18"/>
              </w:rPr>
              <w:t>Fijar documento disponible y responsable; no conocimiento institucional colectivo.</w:t>
            </w:r>
          </w:p>
        </w:tc>
      </w:tr>
      <w:tr>
        <w:trPr>
          <w:cantSplit/>
        </w:trPr>
        <w:tc>
          <w:tcPr>
            <w:tcW w:type="dxa" w:w="1531"/>
          </w:tcPr>
          <w:p>
            <w:pPr>
              <w:spacing w:after="60" w:before="40" w:line="240" w:lineRule="auto"/>
            </w:pPr>
            <w:r>
              <w:rPr>
                <w:rFonts w:ascii="Liberation Sans" w:hAnsi="Liberation Sans"/>
                <w:b w:val="0"/>
                <w:sz w:val="18"/>
              </w:rPr>
              <w:t>01–12-09-2026</w:t>
            </w:r>
          </w:p>
        </w:tc>
        <w:tc>
          <w:tcPr>
            <w:tcW w:type="dxa" w:w="2948"/>
          </w:tcPr>
          <w:p>
            <w:pPr>
              <w:spacing w:after="60" w:before="40" w:line="240" w:lineRule="auto"/>
            </w:pPr>
            <w:r>
              <w:rPr>
                <w:rFonts w:ascii="Liberation Sans" w:hAnsi="Liberation Sans"/>
                <w:b w:val="0"/>
                <w:sz w:val="18"/>
              </w:rPr>
              <w:t>Decreto 222, sucesor de continuidad y esta reposición</w:t>
            </w:r>
          </w:p>
        </w:tc>
        <w:tc>
          <w:tcPr>
            <w:tcW w:type="dxa" w:w="1928"/>
          </w:tcPr>
          <w:p>
            <w:pPr>
              <w:spacing w:after="60" w:before="40" w:line="240" w:lineRule="auto"/>
            </w:pPr>
            <w:r>
              <w:rPr>
                <w:rFonts w:ascii="Liberation Sans" w:hAnsi="Liberation Sans"/>
                <w:b w:val="0"/>
                <w:sz w:val="18"/>
              </w:rPr>
              <w:t>Acto sobrevenido / preparación</w:t>
            </w:r>
          </w:p>
        </w:tc>
        <w:tc>
          <w:tcPr>
            <w:tcW w:type="dxa" w:w="1871"/>
          </w:tcPr>
          <w:p>
            <w:pPr>
              <w:spacing w:after="60" w:before="40" w:line="240" w:lineRule="auto"/>
            </w:pPr>
            <w:r>
              <w:rPr>
                <w:rFonts w:ascii="Liberation Sans" w:hAnsi="Liberation Sans"/>
                <w:b w:val="0"/>
                <w:sz w:val="18"/>
              </w:rPr>
              <w:t>D6; control 10 SEP; recurso</w:t>
            </w:r>
          </w:p>
        </w:tc>
        <w:tc>
          <w:tcPr>
            <w:tcW w:type="dxa" w:w="6293"/>
          </w:tcPr>
          <w:p>
            <w:pPr>
              <w:spacing w:after="60" w:before="40" w:line="240" w:lineRule="auto"/>
            </w:pPr>
            <w:r>
              <w:rPr>
                <w:rFonts w:ascii="Liberation Sans" w:hAnsi="Liberation Sans"/>
                <w:b w:val="0"/>
                <w:sz w:val="18"/>
              </w:rPr>
              <w:t>No se ha verificado presentación del recurso. Firma y recibo son actos posteriores.</w:t>
            </w:r>
          </w:p>
        </w:tc>
      </w:tr>
    </w:tbl>
    <w:p/>
    <w:p>
      <w:pPr>
        <w:pStyle w:val="Heading1"/>
        <w:pageBreakBefore/>
      </w:pPr>
      <w:r>
        <w:t>2 Proposiciones y prueba contraria</w:t>
      </w:r>
    </w:p>
    <w:tbl>
      <w:tblPr>
        <w:tblStyle w:val="TableGrid"/>
        <w:tblW w:type="auto" w:w="0"/>
        <w:tblLayout w:type="fixed"/>
        <w:tblLook w:firstColumn="1" w:firstRow="1" w:lastColumn="0" w:lastRow="0" w:noHBand="0" w:noVBand="1" w:val="04A0"/>
      </w:tblPr>
      <w:tblGrid>
        <w:gridCol w:w="2381"/>
        <w:gridCol w:w="2835"/>
        <w:gridCol w:w="2835"/>
        <w:gridCol w:w="1304"/>
        <w:gridCol w:w="3912"/>
        <w:gridCol w:w="1304"/>
      </w:tblGrid>
      <w:tr>
        <w:trPr>
          <w:tblHeader/>
          <w:cantSplit/>
        </w:trPr>
        <w:tc>
          <w:tcPr>
            <w:tcW w:type="dxa" w:w="2381"/>
            <w:shd w:fill="E8EBEF"/>
          </w:tcPr>
          <w:p>
            <w:pPr>
              <w:spacing w:after="60" w:before="40" w:line="240" w:lineRule="auto"/>
            </w:pPr>
            <w:r>
              <w:rPr>
                <w:rFonts w:ascii="Liberation Sans" w:hAnsi="Liberation Sans"/>
                <w:b/>
                <w:sz w:val="18"/>
              </w:rPr>
              <w:t>ID y cuestión</w:t>
            </w:r>
          </w:p>
        </w:tc>
        <w:tc>
          <w:tcPr>
            <w:tcW w:type="dxa" w:w="2835"/>
            <w:shd w:fill="E8EBEF"/>
          </w:tcPr>
          <w:p>
            <w:pPr>
              <w:spacing w:after="60" w:before="40" w:line="240" w:lineRule="auto"/>
            </w:pPr>
            <w:r>
              <w:rPr>
                <w:rFonts w:ascii="Liberation Sans" w:hAnsi="Liberation Sans"/>
                <w:b/>
                <w:sz w:val="18"/>
              </w:rPr>
              <w:t>Apoyo y clase</w:t>
            </w:r>
          </w:p>
        </w:tc>
        <w:tc>
          <w:tcPr>
            <w:tcW w:type="dxa" w:w="2835"/>
            <w:shd w:fill="E8EBEF"/>
          </w:tcPr>
          <w:p>
            <w:pPr>
              <w:spacing w:after="60" w:before="40" w:line="240" w:lineRule="auto"/>
            </w:pPr>
            <w:r>
              <w:rPr>
                <w:rFonts w:ascii="Liberation Sans" w:hAnsi="Liberation Sans"/>
                <w:b/>
                <w:sz w:val="18"/>
              </w:rPr>
              <w:t>Contraprueba o explicación</w:t>
            </w:r>
          </w:p>
        </w:tc>
        <w:tc>
          <w:tcPr>
            <w:tcW w:type="dxa" w:w="1304"/>
            <w:shd w:fill="E8EBEF"/>
          </w:tcPr>
          <w:p>
            <w:pPr>
              <w:spacing w:after="60" w:before="40" w:line="240" w:lineRule="auto"/>
            </w:pPr>
            <w:r>
              <w:rPr>
                <w:rFonts w:ascii="Liberation Sans" w:hAnsi="Liberation Sans"/>
                <w:b/>
                <w:sz w:val="18"/>
              </w:rPr>
              <w:t>Fuente</w:t>
            </w:r>
          </w:p>
        </w:tc>
        <w:tc>
          <w:tcPr>
            <w:tcW w:type="dxa" w:w="3912"/>
            <w:shd w:fill="E8EBEF"/>
          </w:tcPr>
          <w:p>
            <w:pPr>
              <w:spacing w:after="60" w:before="40" w:line="240" w:lineRule="auto"/>
            </w:pPr>
            <w:r>
              <w:rPr>
                <w:rFonts w:ascii="Liberation Sans" w:hAnsi="Liberation Sans"/>
                <w:b/>
                <w:sz w:val="18"/>
              </w:rPr>
              <w:t>Conocimiento activo y efecto</w:t>
            </w:r>
          </w:p>
        </w:tc>
        <w:tc>
          <w:tcPr>
            <w:tcW w:type="dxa" w:w="1304"/>
            <w:shd w:fill="E8EBEF"/>
          </w:tcPr>
          <w:p>
            <w:pPr>
              <w:spacing w:after="60" w:before="40" w:line="240" w:lineRule="auto"/>
            </w:pPr>
            <w:r>
              <w:rPr>
                <w:rFonts w:ascii="Liberation Sans" w:hAnsi="Liberation Sans"/>
                <w:b/>
                <w:sz w:val="18"/>
              </w:rPr>
              <w:t>Diligencia</w:t>
            </w:r>
          </w:p>
        </w:tc>
      </w:tr>
      <w:tr>
        <w:trPr>
          <w:cantSplit/>
        </w:trPr>
        <w:tc>
          <w:tcPr>
            <w:tcW w:type="dxa" w:w="2381"/>
          </w:tcPr>
          <w:p>
            <w:pPr>
              <w:spacing w:after="60" w:before="40" w:line="240" w:lineRule="auto"/>
            </w:pPr>
            <w:r>
              <w:rPr>
                <w:rFonts w:ascii="Liberation Sans" w:hAnsi="Liberation Sans"/>
                <w:b w:val="0"/>
                <w:sz w:val="18"/>
              </w:rPr>
              <w:t>M01 El objeto registrado era identificable</w:t>
            </w:r>
          </w:p>
        </w:tc>
        <w:tc>
          <w:tcPr>
            <w:tcW w:type="dxa" w:w="2835"/>
          </w:tcPr>
          <w:p>
            <w:pPr>
              <w:spacing w:after="60" w:before="40" w:line="240" w:lineRule="auto"/>
            </w:pPr>
            <w:r>
              <w:rPr>
                <w:rFonts w:ascii="Liberation Sans" w:hAnsi="Liberation Sans"/>
                <w:b w:val="0"/>
                <w:sz w:val="18"/>
              </w:rPr>
              <w:t>Hecho documental: D2 nombra expedientes, doce peticiones y adjunto D3</w:t>
            </w:r>
          </w:p>
        </w:tc>
        <w:tc>
          <w:tcPr>
            <w:tcW w:type="dxa" w:w="2835"/>
          </w:tcPr>
          <w:p>
            <w:pPr>
              <w:spacing w:after="60" w:before="40" w:line="240" w:lineRule="auto"/>
            </w:pPr>
            <w:r>
              <w:rPr>
                <w:rFonts w:ascii="Liberation Sans" w:hAnsi="Liberation Sans"/>
                <w:b w:val="0"/>
                <w:sz w:val="18"/>
              </w:rPr>
              <w:t>D1 afirma falta de concreción; entrada 3 agosto puede ser transmisión de registro 2 agosto</w:t>
            </w:r>
          </w:p>
        </w:tc>
        <w:tc>
          <w:tcPr>
            <w:tcW w:type="dxa" w:w="1304"/>
          </w:tcPr>
          <w:p>
            <w:pPr>
              <w:spacing w:after="60" w:before="40" w:line="240" w:lineRule="auto"/>
            </w:pPr>
            <w:r>
              <w:rPr>
                <w:rFonts w:ascii="Liberation Sans" w:hAnsi="Liberation Sans"/>
                <w:b w:val="0"/>
                <w:sz w:val="18"/>
              </w:rPr>
              <w:t>D1–D3; D8–D9</w:t>
            </w:r>
          </w:p>
        </w:tc>
        <w:tc>
          <w:tcPr>
            <w:tcW w:type="dxa" w:w="3912"/>
          </w:tcPr>
          <w:p>
            <w:pPr>
              <w:spacing w:after="60" w:before="40" w:line="240" w:lineRule="auto"/>
            </w:pPr>
            <w:r>
              <w:rPr>
                <w:rFonts w:ascii="Liberation Sans" w:hAnsi="Liberation Sans"/>
                <w:b w:val="0"/>
                <w:sz w:val="18"/>
              </w:rPr>
              <w:t>No recepción atribuida automáticamente a firmante. Identificar corpus antes de valorar omisión.</w:t>
            </w:r>
          </w:p>
        </w:tc>
        <w:tc>
          <w:tcPr>
            <w:tcW w:type="dxa" w:w="1304"/>
          </w:tcPr>
          <w:p>
            <w:pPr>
              <w:spacing w:after="60" w:before="40" w:line="240" w:lineRule="auto"/>
            </w:pPr>
            <w:r>
              <w:rPr>
                <w:rFonts w:ascii="Liberation Sans" w:hAnsi="Liberation Sans"/>
                <w:b w:val="0"/>
                <w:sz w:val="18"/>
              </w:rPr>
              <w:t>I01</w:t>
            </w:r>
          </w:p>
        </w:tc>
      </w:tr>
      <w:tr>
        <w:trPr>
          <w:cantSplit/>
        </w:trPr>
        <w:tc>
          <w:tcPr>
            <w:tcW w:type="dxa" w:w="2381"/>
          </w:tcPr>
          <w:p>
            <w:pPr>
              <w:spacing w:after="60" w:before="40" w:line="240" w:lineRule="auto"/>
            </w:pPr>
            <w:r>
              <w:rPr>
                <w:rFonts w:ascii="Liberation Sans" w:hAnsi="Liberation Sans"/>
                <w:b w:val="0"/>
                <w:sz w:val="18"/>
              </w:rPr>
              <w:t>M02 La premisa de ausencia de recurso exige reconciliación</w:t>
            </w:r>
          </w:p>
        </w:tc>
        <w:tc>
          <w:tcPr>
            <w:tcW w:type="dxa" w:w="2835"/>
          </w:tcPr>
          <w:p>
            <w:pPr>
              <w:spacing w:after="60" w:before="40" w:line="240" w:lineRule="auto"/>
            </w:pPr>
            <w:r>
              <w:rPr>
                <w:rFonts w:ascii="Liberation Sans" w:hAnsi="Liberation Sans"/>
                <w:b w:val="0"/>
                <w:sz w:val="18"/>
              </w:rPr>
              <w:t>Contradicción temporal: D4 consulta 2 marzo frente a D6 y aviso D5</w:t>
            </w:r>
          </w:p>
        </w:tc>
        <w:tc>
          <w:tcPr>
            <w:tcW w:type="dxa" w:w="2835"/>
          </w:tcPr>
          <w:p>
            <w:pPr>
              <w:spacing w:after="60" w:before="40" w:line="240" w:lineRule="auto"/>
            </w:pPr>
            <w:r>
              <w:rPr>
                <w:rFonts w:ascii="Liberation Sans" w:hAnsi="Liberation Sans"/>
                <w:b w:val="0"/>
                <w:sz w:val="18"/>
              </w:rPr>
              <w:t>D6 es posterior; D4 contiene otras razones y consulta limitada</w:t>
            </w:r>
          </w:p>
        </w:tc>
        <w:tc>
          <w:tcPr>
            <w:tcW w:type="dxa" w:w="1304"/>
          </w:tcPr>
          <w:p>
            <w:pPr>
              <w:spacing w:after="60" w:before="40" w:line="240" w:lineRule="auto"/>
            </w:pPr>
            <w:r>
              <w:rPr>
                <w:rFonts w:ascii="Liberation Sans" w:hAnsi="Liberation Sans"/>
                <w:b w:val="0"/>
                <w:sz w:val="18"/>
              </w:rPr>
              <w:t>D4–D6</w:t>
            </w:r>
          </w:p>
        </w:tc>
        <w:tc>
          <w:tcPr>
            <w:tcW w:type="dxa" w:w="3912"/>
          </w:tcPr>
          <w:p>
            <w:pPr>
              <w:spacing w:after="60" w:before="40" w:line="240" w:lineRule="auto"/>
            </w:pPr>
            <w:r>
              <w:rPr>
                <w:rFonts w:ascii="Liberation Sans" w:hAnsi="Liberation Sans"/>
                <w:b w:val="0"/>
                <w:sz w:val="18"/>
              </w:rPr>
              <w:t>Informe firmado por González-Casanova; solo registro y actualización permiten saber qué conocía y cuándo.</w:t>
            </w:r>
          </w:p>
        </w:tc>
        <w:tc>
          <w:tcPr>
            <w:tcW w:type="dxa" w:w="1304"/>
          </w:tcPr>
          <w:p>
            <w:pPr>
              <w:spacing w:after="60" w:before="40" w:line="240" w:lineRule="auto"/>
            </w:pPr>
            <w:r>
              <w:rPr>
                <w:rFonts w:ascii="Liberation Sans" w:hAnsi="Liberation Sans"/>
                <w:b w:val="0"/>
                <w:sz w:val="18"/>
              </w:rPr>
              <w:t>I02</w:t>
            </w:r>
          </w:p>
        </w:tc>
      </w:tr>
      <w:tr>
        <w:trPr>
          <w:cantSplit/>
        </w:trPr>
        <w:tc>
          <w:tcPr>
            <w:tcW w:type="dxa" w:w="2381"/>
          </w:tcPr>
          <w:p>
            <w:pPr>
              <w:spacing w:after="60" w:before="40" w:line="240" w:lineRule="auto"/>
            </w:pPr>
            <w:r>
              <w:rPr>
                <w:rFonts w:ascii="Liberation Sans" w:hAnsi="Liberation Sans"/>
                <w:b w:val="0"/>
                <w:sz w:val="18"/>
              </w:rPr>
              <w:t>M03 Judicialización requiere identidad material y remisión íntegra</w:t>
            </w:r>
          </w:p>
        </w:tc>
        <w:tc>
          <w:tcPr>
            <w:tcW w:type="dxa" w:w="2835"/>
          </w:tcPr>
          <w:p>
            <w:pPr>
              <w:spacing w:after="60" w:before="40" w:line="240" w:lineRule="auto"/>
            </w:pPr>
            <w:r>
              <w:rPr>
                <w:rFonts w:ascii="Liberation Sans" w:hAnsi="Liberation Sans"/>
                <w:b w:val="0"/>
                <w:sz w:val="18"/>
              </w:rPr>
              <w:t>Pregunta abierta: delimitación, anexos y destino</w:t>
            </w:r>
          </w:p>
        </w:tc>
        <w:tc>
          <w:tcPr>
            <w:tcW w:type="dxa" w:w="2835"/>
          </w:tcPr>
          <w:p>
            <w:pPr>
              <w:spacing w:after="60" w:before="40" w:line="240" w:lineRule="auto"/>
            </w:pPr>
            <w:r>
              <w:rPr>
                <w:rFonts w:ascii="Liberation Sans" w:hAnsi="Liberation Sans"/>
                <w:b w:val="0"/>
                <w:sz w:val="18"/>
              </w:rPr>
              <w:t>Art 773.2 impide duplicidad; D15 ya resolvió adversamente parte de hechos</w:t>
            </w:r>
          </w:p>
        </w:tc>
        <w:tc>
          <w:tcPr>
            <w:tcW w:type="dxa" w:w="1304"/>
          </w:tcPr>
          <w:p>
            <w:pPr>
              <w:spacing w:after="60" w:before="40" w:line="240" w:lineRule="auto"/>
            </w:pPr>
            <w:r>
              <w:rPr>
                <w:rFonts w:ascii="Liberation Sans" w:hAnsi="Liberation Sans"/>
                <w:b w:val="0"/>
                <w:sz w:val="18"/>
              </w:rPr>
              <w:t>D2–D3; D7; D15</w:t>
            </w:r>
          </w:p>
        </w:tc>
        <w:tc>
          <w:tcPr>
            <w:tcW w:type="dxa" w:w="3912"/>
          </w:tcPr>
          <w:p>
            <w:pPr>
              <w:spacing w:after="60" w:before="40" w:line="240" w:lineRule="auto"/>
            </w:pPr>
            <w:r>
              <w:rPr>
                <w:rFonts w:ascii="Liberation Sans" w:hAnsi="Liberation Sans"/>
                <w:b w:val="0"/>
                <w:sz w:val="18"/>
              </w:rPr>
              <w:t>Cada remisión debe identificar expediente, persona, finca y período. El hotel común no prueba identidad universal.</w:t>
            </w:r>
          </w:p>
        </w:tc>
        <w:tc>
          <w:tcPr>
            <w:tcW w:type="dxa" w:w="1304"/>
          </w:tcPr>
          <w:p>
            <w:pPr>
              <w:spacing w:after="60" w:before="40" w:line="240" w:lineRule="auto"/>
            </w:pPr>
            <w:r>
              <w:rPr>
                <w:rFonts w:ascii="Liberation Sans" w:hAnsi="Liberation Sans"/>
                <w:b w:val="0"/>
                <w:sz w:val="18"/>
              </w:rPr>
              <w:t>I03</w:t>
            </w:r>
          </w:p>
        </w:tc>
      </w:tr>
      <w:tr>
        <w:trPr>
          <w:cantSplit/>
        </w:trPr>
        <w:tc>
          <w:tcPr>
            <w:tcW w:type="dxa" w:w="2381"/>
          </w:tcPr>
          <w:p>
            <w:pPr>
              <w:spacing w:after="60" w:before="40" w:line="240" w:lineRule="auto"/>
            </w:pPr>
            <w:r>
              <w:rPr>
                <w:rFonts w:ascii="Liberation Sans" w:hAnsi="Liberation Sans"/>
                <w:b w:val="0"/>
                <w:sz w:val="18"/>
              </w:rPr>
              <w:t>M04 Crédito y título no sustituyen autoridad para cada acto</w:t>
            </w:r>
          </w:p>
        </w:tc>
        <w:tc>
          <w:tcPr>
            <w:tcW w:type="dxa" w:w="2835"/>
          </w:tcPr>
          <w:p>
            <w:pPr>
              <w:spacing w:after="60" w:before="40" w:line="240" w:lineRule="auto"/>
            </w:pPr>
            <w:r>
              <w:rPr>
                <w:rFonts w:ascii="Liberation Sans" w:hAnsi="Liberation Sans"/>
                <w:b w:val="0"/>
                <w:sz w:val="18"/>
              </w:rPr>
              <w:t>Hechos documentales y cuestión jurídica: D10 reduce objeto; D16 dice no adjudicación al 31 julio</w:t>
            </w:r>
          </w:p>
        </w:tc>
        <w:tc>
          <w:tcPr>
            <w:tcW w:type="dxa" w:w="2835"/>
          </w:tcPr>
          <w:p>
            <w:pPr>
              <w:spacing w:after="60" w:before="40" w:line="240" w:lineRule="auto"/>
            </w:pPr>
            <w:r>
              <w:rPr>
                <w:rFonts w:ascii="Liberation Sans" w:hAnsi="Liberation Sans"/>
                <w:b w:val="0"/>
                <w:sz w:val="18"/>
              </w:rPr>
              <w:t>CAM podía tener propiedades propias; AC permitía mantenimiento; plan aprobado antes del 7 junio</w:t>
            </w:r>
          </w:p>
        </w:tc>
        <w:tc>
          <w:tcPr>
            <w:tcW w:type="dxa" w:w="1304"/>
          </w:tcPr>
          <w:p>
            <w:pPr>
              <w:spacing w:after="60" w:before="40" w:line="240" w:lineRule="auto"/>
            </w:pPr>
            <w:r>
              <w:rPr>
                <w:rFonts w:ascii="Liberation Sans" w:hAnsi="Liberation Sans"/>
                <w:b w:val="0"/>
                <w:sz w:val="18"/>
              </w:rPr>
              <w:t>D10; D12–D16; D18; D22–D24</w:t>
            </w:r>
          </w:p>
        </w:tc>
        <w:tc>
          <w:tcPr>
            <w:tcW w:type="dxa" w:w="3912"/>
          </w:tcPr>
          <w:p>
            <w:pPr>
              <w:spacing w:after="60" w:before="40" w:line="240" w:lineRule="auto"/>
            </w:pPr>
            <w:r>
              <w:rPr>
                <w:rFonts w:ascii="Liberation Sans" w:hAnsi="Liberation Sans"/>
                <w:b w:val="0"/>
                <w:sz w:val="18"/>
              </w:rPr>
              <w:t>Titularidad de LPB/Matkator/terceros se separa. Posible beneficio por control requiere prueba; no se presume usurpación global.</w:t>
            </w:r>
          </w:p>
        </w:tc>
        <w:tc>
          <w:tcPr>
            <w:tcW w:type="dxa" w:w="1304"/>
          </w:tcPr>
          <w:p>
            <w:pPr>
              <w:spacing w:after="60" w:before="40" w:line="240" w:lineRule="auto"/>
            </w:pPr>
            <w:r>
              <w:rPr>
                <w:rFonts w:ascii="Liberation Sans" w:hAnsi="Liberation Sans"/>
                <w:b w:val="0"/>
                <w:sz w:val="18"/>
              </w:rPr>
              <w:t>I05;P01;P02</w:t>
            </w:r>
          </w:p>
        </w:tc>
      </w:tr>
      <w:tr>
        <w:trPr>
          <w:cantSplit/>
        </w:trPr>
        <w:tc>
          <w:tcPr>
            <w:tcW w:type="dxa" w:w="2381"/>
          </w:tcPr>
          <w:p>
            <w:pPr>
              <w:spacing w:after="60" w:before="40" w:line="240" w:lineRule="auto"/>
            </w:pPr>
            <w:r>
              <w:rPr>
                <w:rFonts w:ascii="Liberation Sans" w:hAnsi="Liberation Sans"/>
                <w:b w:val="0"/>
                <w:sz w:val="18"/>
              </w:rPr>
              <w:t>M05 Conducta material debe contrastarse con el archivo Arrecife</w:t>
            </w:r>
          </w:p>
        </w:tc>
        <w:tc>
          <w:tcPr>
            <w:tcW w:type="dxa" w:w="2835"/>
          </w:tcPr>
          <w:p>
            <w:pPr>
              <w:spacing w:after="60" w:before="40" w:line="240" w:lineRule="auto"/>
            </w:pPr>
            <w:r>
              <w:rPr>
                <w:rFonts w:ascii="Liberation Sans" w:hAnsi="Liberation Sans"/>
                <w:b w:val="0"/>
                <w:sz w:val="18"/>
              </w:rPr>
              <w:t>Alegaciones contemporáneas; D15 adverso; límites declarados por AC</w:t>
            </w:r>
          </w:p>
        </w:tc>
        <w:tc>
          <w:tcPr>
            <w:tcW w:type="dxa" w:w="2835"/>
          </w:tcPr>
          <w:p>
            <w:pPr>
              <w:spacing w:after="60" w:before="40" w:line="240" w:lineRule="auto"/>
            </w:pPr>
            <w:r>
              <w:rPr>
                <w:rFonts w:ascii="Liberation Sans" w:hAnsi="Liberation Sans"/>
                <w:b w:val="0"/>
                <w:sz w:val="18"/>
              </w:rPr>
              <w:t>Sala ya rechazó posesión y daño no acreditado; agua normal según testimonio</w:t>
            </w:r>
          </w:p>
        </w:tc>
        <w:tc>
          <w:tcPr>
            <w:tcW w:type="dxa" w:w="1304"/>
          </w:tcPr>
          <w:p>
            <w:pPr>
              <w:spacing w:after="60" w:before="40" w:line="240" w:lineRule="auto"/>
            </w:pPr>
            <w:r>
              <w:rPr>
                <w:rFonts w:ascii="Liberation Sans" w:hAnsi="Liberation Sans"/>
                <w:b w:val="0"/>
                <w:sz w:val="18"/>
              </w:rPr>
              <w:t>D12; D15–D17; D30</w:t>
            </w:r>
          </w:p>
        </w:tc>
        <w:tc>
          <w:tcPr>
            <w:tcW w:type="dxa" w:w="3912"/>
          </w:tcPr>
          <w:p>
            <w:pPr>
              <w:spacing w:after="60" w:before="40" w:line="240" w:lineRule="auto"/>
            </w:pPr>
            <w:r>
              <w:rPr>
                <w:rFonts w:ascii="Liberation Sans" w:hAnsi="Liberation Sans"/>
                <w:b w:val="0"/>
                <w:sz w:val="18"/>
              </w:rPr>
              <w:t>D16 identifica autorizaciones de AC a Laura; no identifica cada ejecutor ni prueba que excediera el permiso.</w:t>
            </w:r>
          </w:p>
        </w:tc>
        <w:tc>
          <w:tcPr>
            <w:tcW w:type="dxa" w:w="1304"/>
          </w:tcPr>
          <w:p>
            <w:pPr>
              <w:spacing w:after="60" w:before="40" w:line="240" w:lineRule="auto"/>
            </w:pPr>
            <w:r>
              <w:rPr>
                <w:rFonts w:ascii="Liberation Sans" w:hAnsi="Liberation Sans"/>
                <w:b w:val="0"/>
                <w:sz w:val="18"/>
              </w:rPr>
              <w:t>P02;P03;P04;P08</w:t>
            </w:r>
          </w:p>
        </w:tc>
      </w:tr>
      <w:tr>
        <w:trPr>
          <w:cantSplit/>
        </w:trPr>
        <w:tc>
          <w:tcPr>
            <w:tcW w:type="dxa" w:w="2381"/>
          </w:tcPr>
          <w:p>
            <w:pPr>
              <w:spacing w:after="60" w:before="40" w:line="240" w:lineRule="auto"/>
            </w:pPr>
            <w:r>
              <w:rPr>
                <w:rFonts w:ascii="Liberation Sans" w:hAnsi="Liberation Sans"/>
                <w:b w:val="0"/>
                <w:sz w:val="18"/>
              </w:rPr>
              <w:t>M06 Existe remisión expresa a previa posición del Ministerio</w:t>
            </w:r>
          </w:p>
        </w:tc>
        <w:tc>
          <w:tcPr>
            <w:tcW w:type="dxa" w:w="2835"/>
          </w:tcPr>
          <w:p>
            <w:pPr>
              <w:spacing w:after="60" w:before="40" w:line="240" w:lineRule="auto"/>
            </w:pPr>
            <w:r>
              <w:rPr>
                <w:rFonts w:ascii="Liberation Sans" w:hAnsi="Liberation Sans"/>
                <w:b w:val="0"/>
                <w:sz w:val="18"/>
              </w:rPr>
              <w:t>Hecho documental: texto este Ministerio; inferencia de circularidad pendiente</w:t>
            </w:r>
          </w:p>
        </w:tc>
        <w:tc>
          <w:tcPr>
            <w:tcW w:type="dxa" w:w="2835"/>
          </w:tcPr>
          <w:p>
            <w:pPr>
              <w:spacing w:after="60" w:before="40" w:line="240" w:lineRule="auto"/>
            </w:pPr>
            <w:r>
              <w:rPr>
                <w:rFonts w:ascii="Liberation Sans" w:hAnsi="Liberation Sans"/>
                <w:b w:val="0"/>
                <w:sz w:val="18"/>
              </w:rPr>
              <w:t>Expediente culpabilidad podía ser contexto legítimo; archivo presenta razones autónomas</w:t>
            </w:r>
          </w:p>
        </w:tc>
        <w:tc>
          <w:tcPr>
            <w:tcW w:type="dxa" w:w="1304"/>
          </w:tcPr>
          <w:p>
            <w:pPr>
              <w:spacing w:after="60" w:before="40" w:line="240" w:lineRule="auto"/>
            </w:pPr>
            <w:r>
              <w:rPr>
                <w:rFonts w:ascii="Liberation Sans" w:hAnsi="Liberation Sans"/>
                <w:b w:val="0"/>
                <w:sz w:val="18"/>
              </w:rPr>
              <w:t>D10–D11; D13</w:t>
            </w:r>
          </w:p>
        </w:tc>
        <w:tc>
          <w:tcPr>
            <w:tcW w:type="dxa" w:w="3912"/>
          </w:tcPr>
          <w:p>
            <w:pPr>
              <w:spacing w:after="60" w:before="40" w:line="240" w:lineRule="auto"/>
            </w:pPr>
            <w:r>
              <w:rPr>
                <w:rFonts w:ascii="Liberation Sans" w:hAnsi="Liberation Sans"/>
                <w:b w:val="0"/>
                <w:sz w:val="18"/>
              </w:rPr>
              <w:t>Ricardo firma informe; Elena decide DI 248. No transmisión de conocimiento o intención entre autores.</w:t>
            </w:r>
          </w:p>
        </w:tc>
        <w:tc>
          <w:tcPr>
            <w:tcW w:type="dxa" w:w="1304"/>
          </w:tcPr>
          <w:p>
            <w:pPr>
              <w:spacing w:after="60" w:before="40" w:line="240" w:lineRule="auto"/>
            </w:pPr>
            <w:r>
              <w:rPr>
                <w:rFonts w:ascii="Liberation Sans" w:hAnsi="Liberation Sans"/>
                <w:b w:val="0"/>
                <w:sz w:val="18"/>
              </w:rPr>
              <w:t>I04;I06</w:t>
            </w:r>
          </w:p>
        </w:tc>
      </w:tr>
      <w:tr>
        <w:trPr>
          <w:cantSplit/>
        </w:trPr>
        <w:tc>
          <w:tcPr>
            <w:tcW w:type="dxa" w:w="2381"/>
          </w:tcPr>
          <w:p>
            <w:pPr>
              <w:spacing w:after="60" w:before="40" w:line="240" w:lineRule="auto"/>
            </w:pPr>
            <w:r>
              <w:rPr>
                <w:rFonts w:ascii="Liberation Sans" w:hAnsi="Liberation Sans"/>
                <w:b w:val="0"/>
                <w:sz w:val="18"/>
              </w:rPr>
              <w:t>M07 No convalidación exige conciliar operación de locales</w:t>
            </w:r>
          </w:p>
        </w:tc>
        <w:tc>
          <w:tcPr>
            <w:tcW w:type="dxa" w:w="2835"/>
          </w:tcPr>
          <w:p>
            <w:pPr>
              <w:spacing w:after="60" w:before="40" w:line="240" w:lineRule="auto"/>
            </w:pPr>
            <w:r>
              <w:rPr>
                <w:rFonts w:ascii="Liberation Sans" w:hAnsi="Liberation Sans"/>
                <w:b w:val="0"/>
                <w:sz w:val="18"/>
              </w:rPr>
              <w:t>Resolución judicial: no convalidación y reconocimiento de error parcial</w:t>
            </w:r>
          </w:p>
        </w:tc>
        <w:tc>
          <w:tcPr>
            <w:tcW w:type="dxa" w:w="2835"/>
          </w:tcPr>
          <w:p>
            <w:pPr>
              <w:spacing w:after="60" w:before="40" w:line="240" w:lineRule="auto"/>
            </w:pPr>
            <w:r>
              <w:rPr>
                <w:rFonts w:ascii="Liberation Sans" w:hAnsi="Liberation Sans"/>
                <w:b w:val="0"/>
                <w:sz w:val="18"/>
              </w:rPr>
              <w:t>El juez sí corrigió y ordenó publicidad; reversión era condicional; vía 2021/2022 posterior existe</w:t>
            </w:r>
          </w:p>
        </w:tc>
        <w:tc>
          <w:tcPr>
            <w:tcW w:type="dxa" w:w="1304"/>
          </w:tcPr>
          <w:p>
            <w:pPr>
              <w:spacing w:after="60" w:before="40" w:line="240" w:lineRule="auto"/>
            </w:pPr>
            <w:r>
              <w:rPr>
                <w:rFonts w:ascii="Liberation Sans" w:hAnsi="Liberation Sans"/>
                <w:b w:val="0"/>
                <w:sz w:val="18"/>
              </w:rPr>
              <w:t>D19–D22</w:t>
            </w:r>
          </w:p>
        </w:tc>
        <w:tc>
          <w:tcPr>
            <w:tcW w:type="dxa" w:w="3912"/>
          </w:tcPr>
          <w:p>
            <w:pPr>
              <w:spacing w:after="60" w:before="40" w:line="240" w:lineRule="auto"/>
            </w:pPr>
            <w:r>
              <w:rPr>
                <w:rFonts w:ascii="Liberation Sans" w:hAnsi="Liberation Sans"/>
                <w:b w:val="0"/>
                <w:sz w:val="18"/>
              </w:rPr>
              <w:t>AC ejecuta, CAM adquiere, juez decide. 400.000 euros y destino económico no probados por sola escritura/carta de pago.</w:t>
            </w:r>
          </w:p>
        </w:tc>
        <w:tc>
          <w:tcPr>
            <w:tcW w:type="dxa" w:w="1304"/>
          </w:tcPr>
          <w:p>
            <w:pPr>
              <w:spacing w:after="60" w:before="40" w:line="240" w:lineRule="auto"/>
            </w:pPr>
            <w:r>
              <w:rPr>
                <w:rFonts w:ascii="Liberation Sans" w:hAnsi="Liberation Sans"/>
                <w:b w:val="0"/>
                <w:sz w:val="18"/>
              </w:rPr>
              <w:t>P05</w:t>
            </w:r>
          </w:p>
        </w:tc>
      </w:tr>
      <w:tr>
        <w:trPr>
          <w:cantSplit/>
        </w:trPr>
        <w:tc>
          <w:tcPr>
            <w:tcW w:type="dxa" w:w="2381"/>
          </w:tcPr>
          <w:p>
            <w:pPr>
              <w:spacing w:after="60" w:before="40" w:line="240" w:lineRule="auto"/>
            </w:pPr>
            <w:r>
              <w:rPr>
                <w:rFonts w:ascii="Liberation Sans" w:hAnsi="Liberation Sans"/>
                <w:b w:val="0"/>
                <w:sz w:val="18"/>
              </w:rPr>
              <w:t>M08 La salida financiada debe integrar el análisis de colaboración y causalidad</w:t>
            </w:r>
          </w:p>
        </w:tc>
        <w:tc>
          <w:tcPr>
            <w:tcW w:type="dxa" w:w="2835"/>
          </w:tcPr>
          <w:p>
            <w:pPr>
              <w:spacing w:after="60" w:before="40" w:line="240" w:lineRule="auto"/>
            </w:pPr>
            <w:r>
              <w:rPr>
                <w:rFonts w:ascii="Liberation Sans" w:hAnsi="Liberation Sans"/>
                <w:b w:val="0"/>
                <w:sz w:val="18"/>
              </w:rPr>
              <w:t>Contratos, ruta posterior firmada, relatos profesionales y declaración expresa de Gil: la toma por fuerza impidió formalizar la salida</w:t>
            </w:r>
          </w:p>
        </w:tc>
        <w:tc>
          <w:tcPr>
            <w:tcW w:type="dxa" w:w="2835"/>
          </w:tcPr>
          <w:p>
            <w:pPr>
              <w:spacing w:after="60" w:before="40" w:line="240" w:lineRule="auto"/>
            </w:pPr>
            <w:r>
              <w:rPr>
                <w:rFonts w:ascii="Liberation Sans" w:hAnsi="Liberation Sans"/>
                <w:b w:val="0"/>
                <w:sz w:val="18"/>
              </w:rPr>
              <w:t>Cumplimiento por verificar; D31 firmado; comunicaciones D32–D33 con explicaciones favorables y contrarias; instrucciones profesionales reservadas</w:t>
            </w:r>
          </w:p>
        </w:tc>
        <w:tc>
          <w:tcPr>
            <w:tcW w:type="dxa" w:w="1304"/>
          </w:tcPr>
          <w:p>
            <w:pPr>
              <w:spacing w:after="60" w:before="40" w:line="240" w:lineRule="auto"/>
            </w:pPr>
            <w:r>
              <w:rPr>
                <w:rFonts w:ascii="Liberation Sans" w:hAnsi="Liberation Sans"/>
                <w:b w:val="0"/>
                <w:sz w:val="18"/>
              </w:rPr>
              <w:t>D13; D25–D29; D31–D35</w:t>
            </w:r>
          </w:p>
        </w:tc>
        <w:tc>
          <w:tcPr>
            <w:tcW w:type="dxa" w:w="3912"/>
          </w:tcPr>
          <w:p>
            <w:pPr>
              <w:spacing w:after="60" w:before="40" w:line="240" w:lineRule="auto"/>
            </w:pPr>
            <w:r>
              <w:rPr>
                <w:rFonts w:ascii="Liberation Sans" w:hAnsi="Liberation Sans"/>
                <w:b w:val="0"/>
                <w:sz w:val="18"/>
              </w:rPr>
              <w:t>Gil afirma plena disposición e impedimento por toma de fuerza. Constancia profesional ante juez/AC no equivale a recepción fiscal. Diferenciar preparación, formalización impedida, autorización y desembolso.</w:t>
            </w:r>
          </w:p>
        </w:tc>
        <w:tc>
          <w:tcPr>
            <w:tcW w:type="dxa" w:w="1304"/>
          </w:tcPr>
          <w:p>
            <w:pPr>
              <w:spacing w:after="60" w:before="40" w:line="240" w:lineRule="auto"/>
            </w:pPr>
            <w:r>
              <w:rPr>
                <w:rFonts w:ascii="Liberation Sans" w:hAnsi="Liberation Sans"/>
                <w:b w:val="0"/>
                <w:sz w:val="18"/>
              </w:rPr>
              <w:t>I06;P06</w:t>
            </w:r>
          </w:p>
        </w:tc>
      </w:tr>
      <w:tr>
        <w:trPr>
          <w:cantSplit/>
        </w:trPr>
        <w:tc>
          <w:tcPr>
            <w:tcW w:type="dxa" w:w="2381"/>
          </w:tcPr>
          <w:p>
            <w:pPr>
              <w:spacing w:after="60" w:before="40" w:line="240" w:lineRule="auto"/>
            </w:pPr>
            <w:r>
              <w:rPr>
                <w:rFonts w:ascii="Liberation Sans" w:hAnsi="Liberation Sans"/>
                <w:b w:val="0"/>
                <w:sz w:val="18"/>
              </w:rPr>
              <w:t>M09 Control y beneficio posterior deben vincularse a activos concretos</w:t>
            </w:r>
          </w:p>
        </w:tc>
        <w:tc>
          <w:tcPr>
            <w:tcW w:type="dxa" w:w="2835"/>
          </w:tcPr>
          <w:p>
            <w:pPr>
              <w:spacing w:after="60" w:before="40" w:line="240" w:lineRule="auto"/>
            </w:pPr>
            <w:r>
              <w:rPr>
                <w:rFonts w:ascii="Liberation Sans" w:hAnsi="Liberation Sans"/>
                <w:b w:val="0"/>
                <w:sz w:val="18"/>
              </w:rPr>
              <w:t>Alegación posterior; títulos ulteriores documentados</w:t>
            </w:r>
          </w:p>
        </w:tc>
        <w:tc>
          <w:tcPr>
            <w:tcW w:type="dxa" w:w="2835"/>
          </w:tcPr>
          <w:p>
            <w:pPr>
              <w:spacing w:after="60" w:before="40" w:line="240" w:lineRule="auto"/>
            </w:pPr>
            <w:r>
              <w:rPr>
                <w:rFonts w:ascii="Liberation Sans" w:hAnsi="Liberation Sans"/>
                <w:b w:val="0"/>
                <w:sz w:val="18"/>
              </w:rPr>
              <w:t>Operación posterior puede estar legitimada; cifras de deuda/oferta no prueban beneficios cobrados</w:t>
            </w:r>
          </w:p>
        </w:tc>
        <w:tc>
          <w:tcPr>
            <w:tcW w:type="dxa" w:w="1304"/>
          </w:tcPr>
          <w:p>
            <w:pPr>
              <w:spacing w:after="60" w:before="40" w:line="240" w:lineRule="auto"/>
            </w:pPr>
            <w:r>
              <w:rPr>
                <w:rFonts w:ascii="Liberation Sans" w:hAnsi="Liberation Sans"/>
                <w:b w:val="0"/>
                <w:sz w:val="18"/>
              </w:rPr>
              <w:t>D3; D14; D21–D22; fuentes oficiales por producir</w:t>
            </w:r>
          </w:p>
        </w:tc>
        <w:tc>
          <w:tcPr>
            <w:tcW w:type="dxa" w:w="3912"/>
          </w:tcPr>
          <w:p>
            <w:pPr>
              <w:spacing w:after="60" w:before="40" w:line="240" w:lineRule="auto"/>
            </w:pPr>
            <w:r>
              <w:rPr>
                <w:rFonts w:ascii="Liberation Sans" w:hAnsi="Liberation Sans"/>
                <w:b w:val="0"/>
                <w:sz w:val="18"/>
              </w:rPr>
              <w:t>PMS, contratos, cuentas y autoridades permiten verificar beneficiario y cuantía. No imputación por vínculo societario.</w:t>
            </w:r>
          </w:p>
        </w:tc>
        <w:tc>
          <w:tcPr>
            <w:tcW w:type="dxa" w:w="1304"/>
          </w:tcPr>
          <w:p>
            <w:pPr>
              <w:spacing w:after="60" w:before="40" w:line="240" w:lineRule="auto"/>
            </w:pPr>
            <w:r>
              <w:rPr>
                <w:rFonts w:ascii="Liberation Sans" w:hAnsi="Liberation Sans"/>
                <w:b w:val="0"/>
                <w:sz w:val="18"/>
              </w:rPr>
              <w:t>P01;P05;P07</w:t>
            </w:r>
          </w:p>
        </w:tc>
      </w:tr>
      <w:tr>
        <w:trPr>
          <w:cantSplit/>
        </w:trPr>
        <w:tc>
          <w:tcPr>
            <w:tcW w:type="dxa" w:w="2381"/>
          </w:tcPr>
          <w:p>
            <w:pPr>
              <w:spacing w:after="60" w:before="40" w:line="240" w:lineRule="auto"/>
            </w:pPr>
            <w:r>
              <w:rPr>
                <w:rFonts w:ascii="Liberation Sans" w:hAnsi="Liberation Sans"/>
                <w:b w:val="0"/>
                <w:sz w:val="18"/>
              </w:rPr>
              <w:t>M10 Revisión del tratamiento actual requiere actos individualizados</w:t>
            </w:r>
          </w:p>
        </w:tc>
        <w:tc>
          <w:tcPr>
            <w:tcW w:type="dxa" w:w="2835"/>
          </w:tcPr>
          <w:p>
            <w:pPr>
              <w:spacing w:after="60" w:before="40" w:line="240" w:lineRule="auto"/>
            </w:pPr>
            <w:r>
              <w:rPr>
                <w:rFonts w:ascii="Liberation Sans" w:hAnsi="Liberation Sans"/>
                <w:b w:val="0"/>
                <w:sz w:val="18"/>
              </w:rPr>
              <w:t>Petición inspectora de 2026 y antecedentes históricos</w:t>
            </w:r>
          </w:p>
        </w:tc>
        <w:tc>
          <w:tcPr>
            <w:tcW w:type="dxa" w:w="2835"/>
          </w:tcPr>
          <w:p>
            <w:pPr>
              <w:spacing w:after="60" w:before="40" w:line="240" w:lineRule="auto"/>
            </w:pPr>
            <w:r>
              <w:rPr>
                <w:rFonts w:ascii="Liberation Sans" w:hAnsi="Liberation Sans"/>
                <w:b w:val="0"/>
                <w:sz w:val="18"/>
              </w:rPr>
              <w:t>Prescripción, competencia, reserva y artículo 118 limitan remedios; no sanción automática</w:t>
            </w:r>
          </w:p>
        </w:tc>
        <w:tc>
          <w:tcPr>
            <w:tcW w:type="dxa" w:w="1304"/>
          </w:tcPr>
          <w:p>
            <w:pPr>
              <w:spacing w:after="60" w:before="40" w:line="240" w:lineRule="auto"/>
            </w:pPr>
            <w:r>
              <w:rPr>
                <w:rFonts w:ascii="Liberation Sans" w:hAnsi="Liberation Sans"/>
                <w:b w:val="0"/>
                <w:sz w:val="18"/>
              </w:rPr>
              <w:t>D1–D7; anexo legal</w:t>
            </w:r>
          </w:p>
        </w:tc>
        <w:tc>
          <w:tcPr>
            <w:tcW w:type="dxa" w:w="3912"/>
          </w:tcPr>
          <w:p>
            <w:pPr>
              <w:spacing w:after="60" w:before="40" w:line="240" w:lineRule="auto"/>
            </w:pPr>
            <w:r>
              <w:rPr>
                <w:rFonts w:ascii="Liberation Sans" w:hAnsi="Liberation Sans"/>
                <w:b w:val="0"/>
                <w:sz w:val="18"/>
              </w:rPr>
              <w:t>Acto, deber, conocimiento, decisión, daño incremental y explicación deben asignarse a cada persona.</w:t>
            </w:r>
          </w:p>
        </w:tc>
        <w:tc>
          <w:tcPr>
            <w:tcW w:type="dxa" w:w="1304"/>
          </w:tcPr>
          <w:p>
            <w:pPr>
              <w:spacing w:after="60" w:before="40" w:line="240" w:lineRule="auto"/>
            </w:pPr>
            <w:r>
              <w:rPr>
                <w:rFonts w:ascii="Liberation Sans" w:hAnsi="Liberation Sans"/>
                <w:b w:val="0"/>
                <w:sz w:val="18"/>
              </w:rPr>
              <w:t>I01;I03;I06;L01</w:t>
            </w:r>
          </w:p>
        </w:tc>
      </w:tr>
    </w:tbl>
    <w:p>
      <w:pPr>
        <w:pStyle w:val="Heading1"/>
        <w:pageBreakBefore/>
      </w:pPr>
      <w:r>
        <w:t>3 Perímetro de activos al 7 de junio de 2018</w:t>
      </w:r>
    </w:p>
    <w:p>
      <w:r>
        <w:t>Matriz A de títulos y garantías. Las mismas claves A01–A10 continúan en la matriz B. Se conserva el listado exacto de fincas de apartamentos en D18/D19; no se sustituye por una identificación catastral o por números comerciales de habitación. Las dos matrices forman una única ficha por activo.</w:t>
      </w:r>
    </w:p>
    <w:tbl>
      <w:tblPr>
        <w:tblStyle w:val="TableGrid"/>
        <w:tblW w:type="auto" w:w="0"/>
        <w:tblLayout w:type="fixed"/>
        <w:tblLook w:firstColumn="1" w:firstRow="1" w:lastColumn="0" w:lastRow="0" w:noHBand="0" w:noVBand="1" w:val="04A0"/>
      </w:tblPr>
      <w:tblGrid>
        <w:gridCol w:w="2268"/>
        <w:gridCol w:w="2268"/>
        <w:gridCol w:w="3742"/>
        <w:gridCol w:w="3402"/>
        <w:gridCol w:w="2891"/>
      </w:tblGrid>
      <w:tr>
        <w:trPr>
          <w:tblHeader/>
          <w:cantSplit/>
        </w:trPr>
        <w:tc>
          <w:tcPr>
            <w:tcW w:type="dxa" w:w="2268"/>
            <w:shd w:fill="E8EBEF"/>
          </w:tcPr>
          <w:p>
            <w:pPr>
              <w:spacing w:after="60" w:before="40" w:line="240" w:lineRule="auto"/>
            </w:pPr>
            <w:r>
              <w:rPr>
                <w:rFonts w:ascii="Liberation Sans" w:hAnsi="Liberation Sans"/>
                <w:b/>
                <w:sz w:val="18"/>
              </w:rPr>
              <w:t>ID y activo</w:t>
            </w:r>
          </w:p>
        </w:tc>
        <w:tc>
          <w:tcPr>
            <w:tcW w:type="dxa" w:w="2268"/>
            <w:shd w:fill="E8EBEF"/>
          </w:tcPr>
          <w:p>
            <w:pPr>
              <w:spacing w:after="60" w:before="40" w:line="240" w:lineRule="auto"/>
            </w:pPr>
            <w:r>
              <w:rPr>
                <w:rFonts w:ascii="Liberation Sans" w:hAnsi="Liberation Sans"/>
                <w:b/>
                <w:sz w:val="18"/>
              </w:rPr>
              <w:t>Titular y deudor</w:t>
            </w:r>
          </w:p>
        </w:tc>
        <w:tc>
          <w:tcPr>
            <w:tcW w:type="dxa" w:w="3742"/>
            <w:shd w:fill="E8EBEF"/>
          </w:tcPr>
          <w:p>
            <w:pPr>
              <w:spacing w:after="60" w:before="40" w:line="240" w:lineRule="auto"/>
            </w:pPr>
            <w:r>
              <w:rPr>
                <w:rFonts w:ascii="Liberation Sans" w:hAnsi="Liberation Sans"/>
                <w:b/>
                <w:sz w:val="18"/>
              </w:rPr>
              <w:t>Garantía y acreedor</w:t>
            </w:r>
          </w:p>
        </w:tc>
        <w:tc>
          <w:tcPr>
            <w:tcW w:type="dxa" w:w="3402"/>
            <w:shd w:fill="E8EBEF"/>
          </w:tcPr>
          <w:p>
            <w:pPr>
              <w:spacing w:after="60" w:before="40" w:line="240" w:lineRule="auto"/>
            </w:pPr>
            <w:r>
              <w:rPr>
                <w:rFonts w:ascii="Liberation Sans" w:hAnsi="Liberation Sans"/>
                <w:b/>
                <w:sz w:val="18"/>
              </w:rPr>
              <w:t>Posesión al corte</w:t>
            </w:r>
          </w:p>
        </w:tc>
        <w:tc>
          <w:tcPr>
            <w:tcW w:type="dxa" w:w="2891"/>
            <w:shd w:fill="E8EBEF"/>
          </w:tcPr>
          <w:p>
            <w:pPr>
              <w:spacing w:after="60" w:before="40" w:line="240" w:lineRule="auto"/>
            </w:pPr>
            <w:r>
              <w:rPr>
                <w:rFonts w:ascii="Liberation Sans" w:hAnsi="Liberation Sans"/>
                <w:b/>
                <w:sz w:val="18"/>
              </w:rPr>
              <w:t>Fuente y límite</w:t>
            </w:r>
          </w:p>
        </w:tc>
      </w:tr>
      <w:tr>
        <w:trPr>
          <w:cantSplit/>
        </w:trPr>
        <w:tc>
          <w:tcPr>
            <w:tcW w:type="dxa" w:w="2268"/>
          </w:tcPr>
          <w:p>
            <w:pPr>
              <w:spacing w:after="60" w:before="40" w:line="240" w:lineRule="auto"/>
            </w:pPr>
            <w:r>
              <w:rPr>
                <w:rFonts w:ascii="Liberation Sans" w:hAnsi="Liberation Sans"/>
                <w:b w:val="0"/>
                <w:sz w:val="18"/>
              </w:rPr>
              <w:t>A01 159 apartamentos enumerados en D18 y D19</w:t>
            </w:r>
          </w:p>
        </w:tc>
        <w:tc>
          <w:tcPr>
            <w:tcW w:type="dxa" w:w="2268"/>
          </w:tcPr>
          <w:p>
            <w:pPr>
              <w:spacing w:after="60" w:before="40" w:line="240" w:lineRule="auto"/>
            </w:pPr>
            <w:r>
              <w:rPr>
                <w:rFonts w:ascii="Liberation Sans" w:hAnsi="Liberation Sans"/>
                <w:b w:val="0"/>
                <w:sz w:val="18"/>
              </w:rPr>
              <w:t>LPB según inventario y resolución</w:t>
              <w:br/>
              <w:t>Deudora en C36</w:t>
            </w:r>
          </w:p>
        </w:tc>
        <w:tc>
          <w:tcPr>
            <w:tcW w:type="dxa" w:w="3742"/>
          </w:tcPr>
          <w:p>
            <w:pPr>
              <w:spacing w:after="60" w:before="40" w:line="240" w:lineRule="auto"/>
            </w:pPr>
            <w:r>
              <w:rPr>
                <w:rFonts w:ascii="Liberation Sans" w:hAnsi="Liberation Sans"/>
                <w:b w:val="0"/>
                <w:sz w:val="18"/>
              </w:rPr>
              <w:t>Dos hipotecas según fuentes; reparto exacto por finca pendiente</w:t>
              <w:br/>
              <w:t>CAM, cadena por cesión 20-10-2017 referida en D23–D24</w:t>
            </w:r>
          </w:p>
        </w:tc>
        <w:tc>
          <w:tcPr>
            <w:tcW w:type="dxa" w:w="3402"/>
          </w:tcPr>
          <w:p>
            <w:pPr>
              <w:spacing w:after="60" w:before="40" w:line="240" w:lineRule="auto"/>
            </w:pPr>
            <w:r>
              <w:rPr>
                <w:rFonts w:ascii="Liberation Sans" w:hAnsi="Liberation Sans"/>
                <w:b w:val="0"/>
                <w:sz w:val="18"/>
              </w:rPr>
              <w:t>AC afirma LPB poseedora tras entrega Pink 22-05-2017; disputa operativa</w:t>
            </w:r>
          </w:p>
        </w:tc>
        <w:tc>
          <w:tcPr>
            <w:tcW w:type="dxa" w:w="2891"/>
          </w:tcPr>
          <w:p>
            <w:pPr>
              <w:spacing w:after="60" w:before="40" w:line="240" w:lineRule="auto"/>
            </w:pPr>
            <w:r>
              <w:rPr>
                <w:rFonts w:ascii="Liberation Sans" w:hAnsi="Liberation Sans"/>
                <w:b w:val="0"/>
                <w:sz w:val="18"/>
              </w:rPr>
              <w:t>D16 pp.3,7,10; D18 pp.8–12; D19 pp.2–4; D22 pp.11–12,27–28</w:t>
            </w:r>
          </w:p>
        </w:tc>
      </w:tr>
      <w:tr>
        <w:trPr>
          <w:cantSplit/>
        </w:trPr>
        <w:tc>
          <w:tcPr>
            <w:tcW w:type="dxa" w:w="2268"/>
          </w:tcPr>
          <w:p>
            <w:pPr>
              <w:spacing w:after="60" w:before="40" w:line="240" w:lineRule="auto"/>
            </w:pPr>
            <w:r>
              <w:rPr>
                <w:rFonts w:ascii="Liberation Sans" w:hAnsi="Liberation Sans"/>
                <w:b w:val="0"/>
                <w:sz w:val="18"/>
              </w:rPr>
              <w:t>A02 Locales 8.508–8.535</w:t>
            </w:r>
          </w:p>
        </w:tc>
        <w:tc>
          <w:tcPr>
            <w:tcW w:type="dxa" w:w="2268"/>
          </w:tcPr>
          <w:p>
            <w:pPr>
              <w:spacing w:after="60" w:before="40" w:line="240" w:lineRule="auto"/>
            </w:pPr>
            <w:r>
              <w:rPr>
                <w:rFonts w:ascii="Liberation Sans" w:hAnsi="Liberation Sans"/>
                <w:b w:val="0"/>
                <w:sz w:val="18"/>
              </w:rPr>
              <w:t>LPB según D18–D19</w:t>
              <w:br/>
              <w:t>Deudora en C36</w:t>
            </w:r>
          </w:p>
        </w:tc>
        <w:tc>
          <w:tcPr>
            <w:tcW w:type="dxa" w:w="3742"/>
          </w:tcPr>
          <w:p>
            <w:pPr>
              <w:spacing w:after="60" w:before="40" w:line="240" w:lineRule="auto"/>
            </w:pPr>
            <w:r>
              <w:rPr>
                <w:rFonts w:ascii="Liberation Sans" w:hAnsi="Liberation Sans"/>
                <w:b w:val="0"/>
                <w:sz w:val="18"/>
              </w:rPr>
              <w:t>D19 los distingue como no afectos al privilegio especial</w:t>
              <w:br/>
              <w:t>No asignar acreedor hipotecario por extensión del crédito de apartamentos</w:t>
            </w:r>
          </w:p>
        </w:tc>
        <w:tc>
          <w:tcPr>
            <w:tcW w:type="dxa" w:w="3402"/>
          </w:tcPr>
          <w:p>
            <w:pPr>
              <w:spacing w:after="60" w:before="40" w:line="240" w:lineRule="auto"/>
            </w:pPr>
            <w:r>
              <w:rPr>
                <w:rFonts w:ascii="Liberation Sans" w:hAnsi="Liberation Sans"/>
                <w:b w:val="0"/>
                <w:sz w:val="18"/>
              </w:rPr>
              <w:t>Permiso AC para acceso a locales LPB por mantenimiento; posesión real por local abierta</w:t>
            </w:r>
          </w:p>
        </w:tc>
        <w:tc>
          <w:tcPr>
            <w:tcW w:type="dxa" w:w="2891"/>
          </w:tcPr>
          <w:p>
            <w:pPr>
              <w:spacing w:after="60" w:before="40" w:line="240" w:lineRule="auto"/>
            </w:pPr>
            <w:r>
              <w:rPr>
                <w:rFonts w:ascii="Liberation Sans" w:hAnsi="Liberation Sans"/>
                <w:b w:val="0"/>
                <w:sz w:val="18"/>
              </w:rPr>
              <w:t>D16 p.7; D19 pp.2–6; D20</w:t>
            </w:r>
          </w:p>
        </w:tc>
      </w:tr>
      <w:tr>
        <w:trPr>
          <w:cantSplit/>
        </w:trPr>
        <w:tc>
          <w:tcPr>
            <w:tcW w:type="dxa" w:w="2268"/>
          </w:tcPr>
          <w:p>
            <w:pPr>
              <w:spacing w:after="60" w:before="40" w:line="240" w:lineRule="auto"/>
            </w:pPr>
            <w:r>
              <w:rPr>
                <w:rFonts w:ascii="Liberation Sans" w:hAnsi="Liberation Sans"/>
                <w:b w:val="0"/>
                <w:sz w:val="18"/>
              </w:rPr>
              <w:t>A03 Local 8.536</w:t>
            </w:r>
          </w:p>
        </w:tc>
        <w:tc>
          <w:tcPr>
            <w:tcW w:type="dxa" w:w="2268"/>
          </w:tcPr>
          <w:p>
            <w:pPr>
              <w:spacing w:after="60" w:before="40" w:line="240" w:lineRule="auto"/>
            </w:pPr>
            <w:r>
              <w:rPr>
                <w:rFonts w:ascii="Liberation Sans" w:hAnsi="Liberation Sans"/>
                <w:b w:val="0"/>
                <w:sz w:val="18"/>
              </w:rPr>
              <w:t>LPB según D19 / D20</w:t>
              <w:br/>
              <w:t>Deudora en C36</w:t>
            </w:r>
          </w:p>
        </w:tc>
        <w:tc>
          <w:tcPr>
            <w:tcW w:type="dxa" w:w="3742"/>
          </w:tcPr>
          <w:p>
            <w:pPr>
              <w:spacing w:after="60" w:before="40" w:line="240" w:lineRule="auto"/>
            </w:pPr>
            <w:r>
              <w:rPr>
                <w:rFonts w:ascii="Liberation Sans" w:hAnsi="Liberation Sans"/>
                <w:b w:val="0"/>
                <w:sz w:val="18"/>
              </w:rPr>
              <w:t>No hipotecado según D19; obstáculo ob rem según solicitud AC</w:t>
              <w:br/>
              <w:t>Diferenciar compra y crédito</w:t>
            </w:r>
          </w:p>
        </w:tc>
        <w:tc>
          <w:tcPr>
            <w:tcW w:type="dxa" w:w="3402"/>
          </w:tcPr>
          <w:p>
            <w:pPr>
              <w:spacing w:after="60" w:before="40" w:line="240" w:lineRule="auto"/>
            </w:pPr>
            <w:r>
              <w:rPr>
                <w:rFonts w:ascii="Liberation Sans" w:hAnsi="Liberation Sans"/>
                <w:b w:val="0"/>
                <w:sz w:val="18"/>
              </w:rPr>
              <w:t>Custodia y acceso no individualizados en fuentes examinadas</w:t>
            </w:r>
          </w:p>
        </w:tc>
        <w:tc>
          <w:tcPr>
            <w:tcW w:type="dxa" w:w="2891"/>
          </w:tcPr>
          <w:p>
            <w:pPr>
              <w:spacing w:after="60" w:before="40" w:line="240" w:lineRule="auto"/>
            </w:pPr>
            <w:r>
              <w:rPr>
                <w:rFonts w:ascii="Liberation Sans" w:hAnsi="Liberation Sans"/>
                <w:b w:val="0"/>
                <w:sz w:val="18"/>
              </w:rPr>
              <w:t>D13; D19; D20 pp.1,3,5</w:t>
            </w:r>
          </w:p>
        </w:tc>
      </w:tr>
      <w:tr>
        <w:trPr>
          <w:cantSplit/>
        </w:trPr>
        <w:tc>
          <w:tcPr>
            <w:tcW w:type="dxa" w:w="2268"/>
          </w:tcPr>
          <w:p>
            <w:pPr>
              <w:spacing w:after="60" w:before="40" w:line="240" w:lineRule="auto"/>
            </w:pPr>
            <w:r>
              <w:rPr>
                <w:rFonts w:ascii="Liberation Sans" w:hAnsi="Liberation Sans"/>
                <w:b w:val="0"/>
                <w:sz w:val="18"/>
              </w:rPr>
              <w:t>A04 Piscinas y solárium 8.653 y 8.654</w:t>
            </w:r>
          </w:p>
        </w:tc>
        <w:tc>
          <w:tcPr>
            <w:tcW w:type="dxa" w:w="2268"/>
          </w:tcPr>
          <w:p>
            <w:pPr>
              <w:spacing w:after="60" w:before="40" w:line="240" w:lineRule="auto"/>
            </w:pPr>
            <w:r>
              <w:rPr>
                <w:rFonts w:ascii="Liberation Sans" w:hAnsi="Liberation Sans"/>
                <w:b w:val="0"/>
                <w:sz w:val="18"/>
              </w:rPr>
              <w:t>LPB según D18, D19 y declaración AC</w:t>
              <w:br/>
              <w:t>Deudora en C36</w:t>
            </w:r>
          </w:p>
        </w:tc>
        <w:tc>
          <w:tcPr>
            <w:tcW w:type="dxa" w:w="3742"/>
          </w:tcPr>
          <w:p>
            <w:pPr>
              <w:spacing w:after="60" w:before="40" w:line="240" w:lineRule="auto"/>
            </w:pPr>
            <w:r>
              <w:rPr>
                <w:rFonts w:ascii="Liberation Sans" w:hAnsi="Liberation Sans"/>
                <w:b w:val="0"/>
                <w:sz w:val="18"/>
              </w:rPr>
              <w:t>No hipotecadas según D19; vinculación ob rem por cotejar</w:t>
              <w:br/>
              <w:t>No trasladar privilegio de apartamentos</w:t>
            </w:r>
          </w:p>
        </w:tc>
        <w:tc>
          <w:tcPr>
            <w:tcW w:type="dxa" w:w="3402"/>
          </w:tcPr>
          <w:p>
            <w:pPr>
              <w:spacing w:after="60" w:before="40" w:line="240" w:lineRule="auto"/>
            </w:pPr>
            <w:r>
              <w:rPr>
                <w:rFonts w:ascii="Liberation Sans" w:hAnsi="Liberation Sans"/>
                <w:b w:val="0"/>
                <w:sz w:val="18"/>
              </w:rPr>
              <w:t>Uso colectivo no convierte por sí solo en dominio comunitario</w:t>
            </w:r>
          </w:p>
        </w:tc>
        <w:tc>
          <w:tcPr>
            <w:tcW w:type="dxa" w:w="2891"/>
          </w:tcPr>
          <w:p>
            <w:pPr>
              <w:spacing w:after="60" w:before="40" w:line="240" w:lineRule="auto"/>
            </w:pPr>
            <w:r>
              <w:rPr>
                <w:rFonts w:ascii="Liberation Sans" w:hAnsi="Liberation Sans"/>
                <w:b w:val="0"/>
                <w:sz w:val="18"/>
              </w:rPr>
              <w:t>D16 p.6; D18; D19; D20</w:t>
            </w:r>
          </w:p>
        </w:tc>
      </w:tr>
      <w:tr>
        <w:trPr>
          <w:cantSplit/>
        </w:trPr>
        <w:tc>
          <w:tcPr>
            <w:tcW w:type="dxa" w:w="2268"/>
          </w:tcPr>
          <w:p>
            <w:pPr>
              <w:spacing w:after="60" w:before="40" w:line="240" w:lineRule="auto"/>
            </w:pPr>
            <w:r>
              <w:rPr>
                <w:rFonts w:ascii="Liberation Sans" w:hAnsi="Liberation Sans"/>
                <w:b w:val="0"/>
                <w:sz w:val="18"/>
              </w:rPr>
              <w:t>A05 Fincas y bienes de Matkator</w:t>
            </w:r>
          </w:p>
        </w:tc>
        <w:tc>
          <w:tcPr>
            <w:tcW w:type="dxa" w:w="2268"/>
          </w:tcPr>
          <w:p>
            <w:pPr>
              <w:spacing w:after="60" w:before="40" w:line="240" w:lineRule="auto"/>
            </w:pPr>
            <w:r>
              <w:rPr>
                <w:rFonts w:ascii="Liberation Sans" w:hAnsi="Liberation Sans"/>
                <w:b w:val="0"/>
                <w:sz w:val="18"/>
              </w:rPr>
              <w:t>Titularidad invocada por Matkator; certificaciones históricas pendientes</w:t>
              <w:br/>
              <w:t>No es deudora del C36 de LPB</w:t>
            </w:r>
          </w:p>
        </w:tc>
        <w:tc>
          <w:tcPr>
            <w:tcW w:type="dxa" w:w="3742"/>
          </w:tcPr>
          <w:p>
            <w:pPr>
              <w:spacing w:after="60" w:before="40" w:line="240" w:lineRule="auto"/>
            </w:pPr>
            <w:r>
              <w:rPr>
                <w:rFonts w:ascii="Liberation Sans" w:hAnsi="Liberation Sans"/>
                <w:b w:val="0"/>
                <w:sz w:val="18"/>
              </w:rPr>
              <w:t>No consta en esta revisión garantía que autorice a CAM sobre cada bien Matkator</w:t>
              <w:br/>
              <w:t>Acreditar cualquier crédito y garantía propia, sin presumir inexistencia</w:t>
            </w:r>
          </w:p>
        </w:tc>
        <w:tc>
          <w:tcPr>
            <w:tcW w:type="dxa" w:w="3402"/>
          </w:tcPr>
          <w:p>
            <w:pPr>
              <w:spacing w:after="60" w:before="40" w:line="240" w:lineRule="auto"/>
            </w:pPr>
            <w:r>
              <w:rPr>
                <w:rFonts w:ascii="Liberation Sans" w:hAnsi="Liberation Sans"/>
                <w:b w:val="0"/>
                <w:sz w:val="18"/>
              </w:rPr>
              <w:t>Privación y control denunciados; finca/llave/fecha por determinar</w:t>
            </w:r>
          </w:p>
        </w:tc>
        <w:tc>
          <w:tcPr>
            <w:tcW w:type="dxa" w:w="2891"/>
          </w:tcPr>
          <w:p>
            <w:pPr>
              <w:spacing w:after="60" w:before="40" w:line="240" w:lineRule="auto"/>
            </w:pPr>
            <w:r>
              <w:rPr>
                <w:rFonts w:ascii="Liberation Sans" w:hAnsi="Liberation Sans"/>
                <w:b w:val="0"/>
                <w:sz w:val="18"/>
              </w:rPr>
              <w:t>D2 pp.1–2; D3 pp.3–7; P01; P07</w:t>
            </w:r>
          </w:p>
        </w:tc>
      </w:tr>
      <w:tr>
        <w:trPr>
          <w:cantSplit/>
        </w:trPr>
        <w:tc>
          <w:tcPr>
            <w:tcW w:type="dxa" w:w="2268"/>
          </w:tcPr>
          <w:p>
            <w:pPr>
              <w:spacing w:after="60" w:before="40" w:line="240" w:lineRule="auto"/>
            </w:pPr>
            <w:r>
              <w:rPr>
                <w:rFonts w:ascii="Liberation Sans" w:hAnsi="Liberation Sans"/>
                <w:b w:val="0"/>
                <w:sz w:val="18"/>
              </w:rPr>
              <w:t>A06 Apartamentos y locales de otros titulares</w:t>
            </w:r>
          </w:p>
        </w:tc>
        <w:tc>
          <w:tcPr>
            <w:tcW w:type="dxa" w:w="2268"/>
          </w:tcPr>
          <w:p>
            <w:pPr>
              <w:spacing w:after="60" w:before="40" w:line="240" w:lineRule="auto"/>
            </w:pPr>
            <w:r>
              <w:rPr>
                <w:rFonts w:ascii="Liberation Sans" w:hAnsi="Liberation Sans"/>
                <w:b w:val="0"/>
                <w:sz w:val="18"/>
              </w:rPr>
              <w:t>Terceros, incluida posible propiedad previa de CAM</w:t>
              <w:br/>
              <w:t>Fuera de masa LPB salvo título distinto probado</w:t>
            </w:r>
          </w:p>
        </w:tc>
        <w:tc>
          <w:tcPr>
            <w:tcW w:type="dxa" w:w="3742"/>
          </w:tcPr>
          <w:p>
            <w:pPr>
              <w:spacing w:after="60" w:before="40" w:line="240" w:lineRule="auto"/>
            </w:pPr>
            <w:r>
              <w:rPr>
                <w:rFonts w:ascii="Liberation Sans" w:hAnsi="Liberation Sans"/>
                <w:b w:val="0"/>
                <w:sz w:val="18"/>
              </w:rPr>
              <w:t>Cada finca exige certificación; no inferir garantía global</w:t>
              <w:br/>
              <w:t>Por identificar</w:t>
            </w:r>
          </w:p>
        </w:tc>
        <w:tc>
          <w:tcPr>
            <w:tcW w:type="dxa" w:w="3402"/>
          </w:tcPr>
          <w:p>
            <w:pPr>
              <w:spacing w:after="60" w:before="40" w:line="240" w:lineRule="auto"/>
            </w:pPr>
            <w:r>
              <w:rPr>
                <w:rFonts w:ascii="Liberation Sans" w:hAnsi="Liberation Sans"/>
                <w:b w:val="0"/>
                <w:sz w:val="18"/>
              </w:rPr>
              <w:t>Posesión/entrega y contratos por propietario</w:t>
            </w:r>
          </w:p>
        </w:tc>
        <w:tc>
          <w:tcPr>
            <w:tcW w:type="dxa" w:w="2891"/>
          </w:tcPr>
          <w:p>
            <w:pPr>
              <w:spacing w:after="60" w:before="40" w:line="240" w:lineRule="auto"/>
            </w:pPr>
            <w:r>
              <w:rPr>
                <w:rFonts w:ascii="Liberation Sans" w:hAnsi="Liberation Sans"/>
                <w:b w:val="0"/>
                <w:sz w:val="18"/>
              </w:rPr>
              <w:t>D16 p.10; D18; D25–D27; P01</w:t>
            </w:r>
          </w:p>
        </w:tc>
      </w:tr>
      <w:tr>
        <w:trPr>
          <w:cantSplit/>
        </w:trPr>
        <w:tc>
          <w:tcPr>
            <w:tcW w:type="dxa" w:w="2268"/>
          </w:tcPr>
          <w:p>
            <w:pPr>
              <w:spacing w:after="60" w:before="40" w:line="240" w:lineRule="auto"/>
            </w:pPr>
            <w:r>
              <w:rPr>
                <w:rFonts w:ascii="Liberation Sans" w:hAnsi="Liberation Sans"/>
                <w:b w:val="0"/>
                <w:sz w:val="18"/>
              </w:rPr>
              <w:t>A07 Bienes muebles y documentación de oficinas o recepción</w:t>
            </w:r>
          </w:p>
        </w:tc>
        <w:tc>
          <w:tcPr>
            <w:tcW w:type="dxa" w:w="2268"/>
          </w:tcPr>
          <w:p>
            <w:pPr>
              <w:spacing w:after="60" w:before="40" w:line="240" w:lineRule="auto"/>
            </w:pPr>
            <w:r>
              <w:rPr>
                <w:rFonts w:ascii="Liberation Sans" w:hAnsi="Liberation Sans"/>
                <w:b w:val="0"/>
                <w:sz w:val="18"/>
              </w:rPr>
              <w:t>LPB, Matkator o tercero según factura/inventario; no resuelto</w:t>
              <w:br/>
              <w:t>Mixto, sin absorción automática</w:t>
            </w:r>
          </w:p>
        </w:tc>
        <w:tc>
          <w:tcPr>
            <w:tcW w:type="dxa" w:w="3742"/>
          </w:tcPr>
          <w:p>
            <w:pPr>
              <w:spacing w:after="60" w:before="40" w:line="240" w:lineRule="auto"/>
            </w:pPr>
            <w:r>
              <w:rPr>
                <w:rFonts w:ascii="Liberation Sans" w:hAnsi="Liberation Sans"/>
                <w:b w:val="0"/>
                <w:sz w:val="18"/>
              </w:rPr>
              <w:t>Hipoteca mobiliaria/extensión inmobiliaria no acreditada por objeto</w:t>
              <w:br/>
              <w:t>Por identificar si existe</w:t>
            </w:r>
          </w:p>
        </w:tc>
        <w:tc>
          <w:tcPr>
            <w:tcW w:type="dxa" w:w="3402"/>
          </w:tcPr>
          <w:p>
            <w:pPr>
              <w:spacing w:after="60" w:before="40" w:line="240" w:lineRule="auto"/>
            </w:pPr>
            <w:r>
              <w:rPr>
                <w:rFonts w:ascii="Liberation Sans" w:hAnsi="Liberation Sans"/>
                <w:b w:val="0"/>
                <w:sz w:val="18"/>
              </w:rPr>
              <w:t>Custodia anterior y posterior por reconstruir</w:t>
            </w:r>
          </w:p>
        </w:tc>
        <w:tc>
          <w:tcPr>
            <w:tcW w:type="dxa" w:w="2891"/>
          </w:tcPr>
          <w:p>
            <w:pPr>
              <w:spacing w:after="60" w:before="40" w:line="240" w:lineRule="auto"/>
            </w:pPr>
            <w:r>
              <w:rPr>
                <w:rFonts w:ascii="Liberation Sans" w:hAnsi="Liberation Sans"/>
                <w:b w:val="0"/>
                <w:sz w:val="18"/>
              </w:rPr>
              <w:t>D12; D15 pp.3–5; D16 pp.6–7; P04</w:t>
            </w:r>
          </w:p>
        </w:tc>
      </w:tr>
      <w:tr>
        <w:trPr>
          <w:cantSplit/>
        </w:trPr>
        <w:tc>
          <w:tcPr>
            <w:tcW w:type="dxa" w:w="2268"/>
          </w:tcPr>
          <w:p>
            <w:pPr>
              <w:spacing w:after="60" w:before="40" w:line="240" w:lineRule="auto"/>
            </w:pPr>
            <w:r>
              <w:rPr>
                <w:rFonts w:ascii="Liberation Sans" w:hAnsi="Liberation Sans"/>
                <w:b w:val="0"/>
                <w:sz w:val="18"/>
              </w:rPr>
              <w:t>A08 Elementos comunes y zonas de uso común</w:t>
            </w:r>
          </w:p>
        </w:tc>
        <w:tc>
          <w:tcPr>
            <w:tcW w:type="dxa" w:w="2268"/>
          </w:tcPr>
          <w:p>
            <w:pPr>
              <w:spacing w:after="60" w:before="40" w:line="240" w:lineRule="auto"/>
            </w:pPr>
            <w:r>
              <w:rPr>
                <w:rFonts w:ascii="Liberation Sans" w:hAnsi="Liberation Sans"/>
                <w:b w:val="0"/>
                <w:sz w:val="18"/>
              </w:rPr>
              <w:t>Título horizontal y estatutos; separar de fincas privadas de servicio</w:t>
              <w:br/>
              <w:t>Mixto</w:t>
            </w:r>
          </w:p>
        </w:tc>
        <w:tc>
          <w:tcPr>
            <w:tcW w:type="dxa" w:w="3742"/>
          </w:tcPr>
          <w:p>
            <w:pPr>
              <w:spacing w:after="60" w:before="40" w:line="240" w:lineRule="auto"/>
            </w:pPr>
            <w:r>
              <w:rPr>
                <w:rFonts w:ascii="Liberation Sans" w:hAnsi="Liberation Sans"/>
                <w:b w:val="0"/>
                <w:sz w:val="18"/>
              </w:rPr>
              <w:t>Afección por título y naturaleza del elemento</w:t>
              <w:br/>
              <w:t>Por identificar</w:t>
            </w:r>
          </w:p>
        </w:tc>
        <w:tc>
          <w:tcPr>
            <w:tcW w:type="dxa" w:w="3402"/>
          </w:tcPr>
          <w:p>
            <w:pPr>
              <w:spacing w:after="60" w:before="40" w:line="240" w:lineRule="auto"/>
            </w:pPr>
            <w:r>
              <w:rPr>
                <w:rFonts w:ascii="Liberation Sans" w:hAnsi="Liberation Sans"/>
                <w:b w:val="0"/>
                <w:sz w:val="18"/>
              </w:rPr>
              <w:t>Facultades comunitarias de mantenimiento sujetas a su ámbito</w:t>
            </w:r>
          </w:p>
        </w:tc>
        <w:tc>
          <w:tcPr>
            <w:tcW w:type="dxa" w:w="2891"/>
          </w:tcPr>
          <w:p>
            <w:pPr>
              <w:spacing w:after="60" w:before="40" w:line="240" w:lineRule="auto"/>
            </w:pPr>
            <w:r>
              <w:rPr>
                <w:rFonts w:ascii="Liberation Sans" w:hAnsi="Liberation Sans"/>
                <w:b w:val="0"/>
                <w:sz w:val="18"/>
              </w:rPr>
              <w:t>D17; D16 pp.6–10; P01–P02</w:t>
            </w:r>
          </w:p>
        </w:tc>
      </w:tr>
      <w:tr>
        <w:trPr>
          <w:cantSplit/>
        </w:trPr>
        <w:tc>
          <w:tcPr>
            <w:tcW w:type="dxa" w:w="2268"/>
          </w:tcPr>
          <w:p>
            <w:pPr>
              <w:spacing w:after="60" w:before="40" w:line="240" w:lineRule="auto"/>
            </w:pPr>
            <w:r>
              <w:rPr>
                <w:rFonts w:ascii="Liberation Sans" w:hAnsi="Liberation Sans"/>
                <w:b w:val="0"/>
                <w:sz w:val="18"/>
              </w:rPr>
              <w:t>A09 Agua, bombas, accesos, códigos, llaves y seguridad</w:t>
            </w:r>
          </w:p>
        </w:tc>
        <w:tc>
          <w:tcPr>
            <w:tcW w:type="dxa" w:w="2268"/>
          </w:tcPr>
          <w:p>
            <w:pPr>
              <w:spacing w:after="60" w:before="40" w:line="240" w:lineRule="auto"/>
            </w:pPr>
            <w:r>
              <w:rPr>
                <w:rFonts w:ascii="Liberation Sans" w:hAnsi="Liberation Sans"/>
                <w:b w:val="0"/>
                <w:sz w:val="18"/>
              </w:rPr>
              <w:t>Dueño de instalación, titular del contrato y prestador deben separarse</w:t>
              <w:br/>
              <w:t>Mixto</w:t>
            </w:r>
          </w:p>
        </w:tc>
        <w:tc>
          <w:tcPr>
            <w:tcW w:type="dxa" w:w="3742"/>
          </w:tcPr>
          <w:p>
            <w:pPr>
              <w:spacing w:after="60" w:before="40" w:line="240" w:lineRule="auto"/>
            </w:pPr>
            <w:r>
              <w:rPr>
                <w:rFonts w:ascii="Liberation Sans" w:hAnsi="Liberation Sans"/>
                <w:b w:val="0"/>
                <w:sz w:val="18"/>
              </w:rPr>
              <w:t>Perímetro técnico y contractual por identificar</w:t>
              <w:br/>
              <w:t>No derivar de CAM acreedor</w:t>
            </w:r>
          </w:p>
        </w:tc>
        <w:tc>
          <w:tcPr>
            <w:tcW w:type="dxa" w:w="3402"/>
          </w:tcPr>
          <w:p>
            <w:pPr>
              <w:spacing w:after="60" w:before="40" w:line="240" w:lineRule="auto"/>
            </w:pPr>
            <w:r>
              <w:rPr>
                <w:rFonts w:ascii="Liberation Sans" w:hAnsi="Liberation Sans"/>
                <w:b w:val="0"/>
                <w:sz w:val="18"/>
              </w:rPr>
              <w:t>AC autoriza mantenimiento en locales LPB; niega ordenar romper sistema de códigos</w:t>
            </w:r>
          </w:p>
        </w:tc>
        <w:tc>
          <w:tcPr>
            <w:tcW w:type="dxa" w:w="2891"/>
          </w:tcPr>
          <w:p>
            <w:pPr>
              <w:spacing w:after="60" w:before="40" w:line="240" w:lineRule="auto"/>
            </w:pPr>
            <w:r>
              <w:rPr>
                <w:rFonts w:ascii="Liberation Sans" w:hAnsi="Liberation Sans"/>
                <w:b w:val="0"/>
                <w:sz w:val="18"/>
              </w:rPr>
              <w:t>D15; D16 p.7; D30; P02–P03</w:t>
            </w:r>
          </w:p>
        </w:tc>
      </w:tr>
      <w:tr>
        <w:trPr>
          <w:cantSplit/>
        </w:trPr>
        <w:tc>
          <w:tcPr>
            <w:tcW w:type="dxa" w:w="2268"/>
          </w:tcPr>
          <w:p>
            <w:pPr>
              <w:spacing w:after="60" w:before="40" w:line="240" w:lineRule="auto"/>
            </w:pPr>
            <w:r>
              <w:rPr>
                <w:rFonts w:ascii="Liberation Sans" w:hAnsi="Liberation Sans"/>
                <w:b w:val="0"/>
                <w:sz w:val="18"/>
              </w:rPr>
              <w:t>A10 Derechos de explotación, reservas e ingresos</w:t>
            </w:r>
          </w:p>
        </w:tc>
        <w:tc>
          <w:tcPr>
            <w:tcW w:type="dxa" w:w="2268"/>
          </w:tcPr>
          <w:p>
            <w:pPr>
              <w:spacing w:after="60" w:before="40" w:line="240" w:lineRule="auto"/>
            </w:pPr>
            <w:r>
              <w:rPr>
                <w:rFonts w:ascii="Liberation Sans" w:hAnsi="Liberation Sans"/>
                <w:b w:val="0"/>
                <w:sz w:val="18"/>
              </w:rPr>
              <w:t>Titular contractual por período; no necesariamente dueño de cada finca</w:t>
              <w:br/>
              <w:t>Mixto</w:t>
            </w:r>
          </w:p>
        </w:tc>
        <w:tc>
          <w:tcPr>
            <w:tcW w:type="dxa" w:w="3742"/>
          </w:tcPr>
          <w:p>
            <w:pPr>
              <w:spacing w:after="60" w:before="40" w:line="240" w:lineRule="auto"/>
            </w:pPr>
            <w:r>
              <w:rPr>
                <w:rFonts w:ascii="Liberation Sans" w:hAnsi="Liberation Sans"/>
                <w:b w:val="0"/>
                <w:sz w:val="18"/>
              </w:rPr>
              <w:t>Rentas/frutos y alcance de garantía exigen pacto y ley aplicables</w:t>
              <w:br/>
              <w:t>Por crédito y período, sin confusión con operador</w:t>
            </w:r>
          </w:p>
        </w:tc>
        <w:tc>
          <w:tcPr>
            <w:tcW w:type="dxa" w:w="3402"/>
          </w:tcPr>
          <w:p>
            <w:pPr>
              <w:spacing w:after="60" w:before="40" w:line="240" w:lineRule="auto"/>
            </w:pPr>
            <w:r>
              <w:rPr>
                <w:rFonts w:ascii="Liberation Sans" w:hAnsi="Liberation Sans"/>
                <w:b w:val="0"/>
                <w:sz w:val="18"/>
              </w:rPr>
              <w:t>Operador y beneficiario efectivo por PMS, contratos y cuentas</w:t>
            </w:r>
          </w:p>
        </w:tc>
        <w:tc>
          <w:tcPr>
            <w:tcW w:type="dxa" w:w="2891"/>
          </w:tcPr>
          <w:p>
            <w:pPr>
              <w:spacing w:after="60" w:before="40" w:line="240" w:lineRule="auto"/>
            </w:pPr>
            <w:r>
              <w:rPr>
                <w:rFonts w:ascii="Liberation Sans" w:hAnsi="Liberation Sans"/>
                <w:b w:val="0"/>
                <w:sz w:val="18"/>
              </w:rPr>
              <w:t>D2–D3; D12; D15; D25–D29; P06–P07</w:t>
            </w:r>
          </w:p>
        </w:tc>
      </w:tr>
    </w:tbl>
    <w:p/>
    <w:p>
      <w:pPr>
        <w:pStyle w:val="Heading1"/>
        <w:pageBreakBefore/>
      </w:pPr>
      <w:r>
        <w:t>3 Perímetro de activos y conducta</w:t>
      </w:r>
    </w:p>
    <w:p>
      <w:r>
        <w:t>Matriz B de explotación, acto y título posterior. La cronología se individualiza por episodio; no se atribuye una misma fecha de comienzo a todas las conductas.</w:t>
      </w:r>
    </w:p>
    <w:tbl>
      <w:tblPr>
        <w:tblStyle w:val="TableGrid"/>
        <w:tblW w:type="auto" w:w="0"/>
        <w:tblLayout w:type="fixed"/>
        <w:tblLook w:firstColumn="1" w:firstRow="1" w:lastColumn="0" w:lastRow="0" w:noHBand="0" w:noVBand="1" w:val="04A0"/>
      </w:tblPr>
      <w:tblGrid>
        <w:gridCol w:w="624"/>
        <w:gridCol w:w="3005"/>
        <w:gridCol w:w="2835"/>
        <w:gridCol w:w="1701"/>
        <w:gridCol w:w="3969"/>
        <w:gridCol w:w="2438"/>
      </w:tblGrid>
      <w:tr>
        <w:trPr>
          <w:tblHeader/>
          <w:cantSplit/>
        </w:trPr>
        <w:tc>
          <w:tcPr>
            <w:tcW w:type="dxa" w:w="624"/>
            <w:shd w:fill="E8EBEF"/>
          </w:tcPr>
          <w:p>
            <w:pPr>
              <w:spacing w:after="60" w:before="40" w:line="240" w:lineRule="auto"/>
            </w:pPr>
            <w:r>
              <w:rPr>
                <w:rFonts w:ascii="Liberation Sans" w:hAnsi="Liberation Sans"/>
                <w:b/>
                <w:sz w:val="18"/>
              </w:rPr>
              <w:t>ID</w:t>
            </w:r>
          </w:p>
        </w:tc>
        <w:tc>
          <w:tcPr>
            <w:tcW w:type="dxa" w:w="3005"/>
            <w:shd w:fill="E8EBEF"/>
          </w:tcPr>
          <w:p>
            <w:pPr>
              <w:spacing w:after="60" w:before="40" w:line="240" w:lineRule="auto"/>
            </w:pPr>
            <w:r>
              <w:rPr>
                <w:rFonts w:ascii="Liberation Sans" w:hAnsi="Liberation Sans"/>
                <w:b/>
                <w:sz w:val="18"/>
              </w:rPr>
              <w:t>Explotación</w:t>
            </w:r>
          </w:p>
        </w:tc>
        <w:tc>
          <w:tcPr>
            <w:tcW w:type="dxa" w:w="2835"/>
            <w:shd w:fill="E8EBEF"/>
          </w:tcPr>
          <w:p>
            <w:pPr>
              <w:spacing w:after="60" w:before="40" w:line="240" w:lineRule="auto"/>
            </w:pPr>
            <w:r>
              <w:rPr>
                <w:rFonts w:ascii="Liberation Sans" w:hAnsi="Liberation Sans"/>
                <w:b/>
                <w:sz w:val="18"/>
              </w:rPr>
              <w:t>Interferencia alegada</w:t>
            </w:r>
          </w:p>
        </w:tc>
        <w:tc>
          <w:tcPr>
            <w:tcW w:type="dxa" w:w="1701"/>
            <w:shd w:fill="E8EBEF"/>
          </w:tcPr>
          <w:p>
            <w:pPr>
              <w:spacing w:after="60" w:before="40" w:line="240" w:lineRule="auto"/>
            </w:pPr>
            <w:r>
              <w:rPr>
                <w:rFonts w:ascii="Liberation Sans" w:hAnsi="Liberation Sans"/>
                <w:b/>
                <w:sz w:val="18"/>
              </w:rPr>
              <w:t>Fecha</w:t>
            </w:r>
          </w:p>
        </w:tc>
        <w:tc>
          <w:tcPr>
            <w:tcW w:type="dxa" w:w="3969"/>
            <w:shd w:fill="E8EBEF"/>
          </w:tcPr>
          <w:p>
            <w:pPr>
              <w:spacing w:after="60" w:before="40" w:line="240" w:lineRule="auto"/>
            </w:pPr>
            <w:r>
              <w:rPr>
                <w:rFonts w:ascii="Liberation Sans" w:hAnsi="Liberation Sans"/>
                <w:b/>
                <w:sz w:val="18"/>
              </w:rPr>
              <w:t>Título posterior y comprobación</w:t>
            </w:r>
          </w:p>
        </w:tc>
        <w:tc>
          <w:tcPr>
            <w:tcW w:type="dxa" w:w="2438"/>
            <w:shd w:fill="E8EBEF"/>
          </w:tcPr>
          <w:p>
            <w:pPr>
              <w:spacing w:after="60" w:before="40" w:line="240" w:lineRule="auto"/>
            </w:pPr>
            <w:r>
              <w:rPr>
                <w:rFonts w:ascii="Liberation Sans" w:hAnsi="Liberation Sans"/>
                <w:b/>
                <w:sz w:val="18"/>
              </w:rPr>
              <w:t>Fuente</w:t>
            </w:r>
          </w:p>
        </w:tc>
      </w:tr>
      <w:tr>
        <w:trPr>
          <w:cantSplit/>
        </w:trPr>
        <w:tc>
          <w:tcPr>
            <w:tcW w:type="dxa" w:w="624"/>
          </w:tcPr>
          <w:p>
            <w:pPr>
              <w:spacing w:after="60" w:before="40" w:line="240" w:lineRule="auto"/>
            </w:pPr>
            <w:r>
              <w:rPr>
                <w:rFonts w:ascii="Liberation Sans" w:hAnsi="Liberation Sans"/>
                <w:b w:val="0"/>
                <w:sz w:val="18"/>
              </w:rPr>
              <w:t>A01</w:t>
            </w:r>
          </w:p>
        </w:tc>
        <w:tc>
          <w:tcPr>
            <w:tcW w:type="dxa" w:w="3005"/>
          </w:tcPr>
          <w:p>
            <w:pPr>
              <w:spacing w:after="60" w:before="40" w:line="240" w:lineRule="auto"/>
            </w:pPr>
            <w:r>
              <w:rPr>
                <w:rFonts w:ascii="Liberation Sans" w:hAnsi="Liberation Sans"/>
                <w:b w:val="0"/>
                <w:sz w:val="18"/>
              </w:rPr>
              <w:t>No deriva del crédito; contrato/cesión/permiso por acreditar</w:t>
            </w:r>
          </w:p>
        </w:tc>
        <w:tc>
          <w:tcPr>
            <w:tcW w:type="dxa" w:w="2835"/>
          </w:tcPr>
          <w:p>
            <w:pPr>
              <w:spacing w:after="60" w:before="40" w:line="240" w:lineRule="auto"/>
            </w:pPr>
            <w:r>
              <w:rPr>
                <w:rFonts w:ascii="Liberation Sans" w:hAnsi="Liberation Sans"/>
                <w:b w:val="0"/>
                <w:sz w:val="18"/>
              </w:rPr>
              <w:t>Entrada, ocupación, obras y explotación alegadas; AC no autoriza apartamentos</w:t>
            </w:r>
          </w:p>
        </w:tc>
        <w:tc>
          <w:tcPr>
            <w:tcW w:type="dxa" w:w="1701"/>
          </w:tcPr>
          <w:p>
            <w:pPr>
              <w:spacing w:after="60" w:before="40" w:line="240" w:lineRule="auto"/>
            </w:pPr>
            <w:r>
              <w:rPr>
                <w:rFonts w:ascii="Liberation Sans" w:hAnsi="Liberation Sans"/>
                <w:b w:val="0"/>
                <w:sz w:val="18"/>
              </w:rPr>
              <w:t>07-06-2018; declaración 31-07-2018</w:t>
            </w:r>
          </w:p>
        </w:tc>
        <w:tc>
          <w:tcPr>
            <w:tcW w:type="dxa" w:w="3969"/>
          </w:tcPr>
          <w:p>
            <w:pPr>
              <w:spacing w:after="60" w:before="40" w:line="240" w:lineRule="auto"/>
            </w:pPr>
            <w:r>
              <w:rPr>
                <w:rFonts w:ascii="Liberation Sans" w:hAnsi="Liberation Sans"/>
                <w:b w:val="0"/>
                <w:sz w:val="18"/>
              </w:rPr>
              <w:t>Auto 18-05-2021 y protocolo 457 21-02-2022, efectos registrales pendientes</w:t>
            </w:r>
          </w:p>
        </w:tc>
        <w:tc>
          <w:tcPr>
            <w:tcW w:type="dxa" w:w="2438"/>
          </w:tcPr>
          <w:p>
            <w:pPr>
              <w:spacing w:after="60" w:before="40" w:line="240" w:lineRule="auto"/>
            </w:pPr>
            <w:r>
              <w:rPr>
                <w:rFonts w:ascii="Liberation Sans" w:hAnsi="Liberation Sans"/>
                <w:b w:val="0"/>
                <w:sz w:val="18"/>
              </w:rPr>
              <w:t>D16 pp.3,7,10; D18 pp.8–12; D19 pp.2–4; D22 pp.11–12,27–28</w:t>
            </w:r>
          </w:p>
        </w:tc>
      </w:tr>
      <w:tr>
        <w:trPr>
          <w:cantSplit/>
        </w:trPr>
        <w:tc>
          <w:tcPr>
            <w:tcW w:type="dxa" w:w="624"/>
          </w:tcPr>
          <w:p>
            <w:pPr>
              <w:spacing w:after="60" w:before="40" w:line="240" w:lineRule="auto"/>
            </w:pPr>
            <w:r>
              <w:rPr>
                <w:rFonts w:ascii="Liberation Sans" w:hAnsi="Liberation Sans"/>
                <w:b w:val="0"/>
                <w:sz w:val="18"/>
              </w:rPr>
              <w:t>A02</w:t>
            </w:r>
          </w:p>
        </w:tc>
        <w:tc>
          <w:tcPr>
            <w:tcW w:type="dxa" w:w="3005"/>
          </w:tcPr>
          <w:p>
            <w:pPr>
              <w:spacing w:after="60" w:before="40" w:line="240" w:lineRule="auto"/>
            </w:pPr>
            <w:r>
              <w:rPr>
                <w:rFonts w:ascii="Liberation Sans" w:hAnsi="Liberation Sans"/>
                <w:b w:val="0"/>
                <w:sz w:val="18"/>
              </w:rPr>
              <w:t>Mantenimiento comunitario no acredita cesión general de explotación</w:t>
            </w:r>
          </w:p>
        </w:tc>
        <w:tc>
          <w:tcPr>
            <w:tcW w:type="dxa" w:w="2835"/>
          </w:tcPr>
          <w:p>
            <w:pPr>
              <w:spacing w:after="60" w:before="40" w:line="240" w:lineRule="auto"/>
            </w:pPr>
            <w:r>
              <w:rPr>
                <w:rFonts w:ascii="Liberation Sans" w:hAnsi="Liberation Sans"/>
                <w:b w:val="0"/>
                <w:sz w:val="18"/>
              </w:rPr>
              <w:t>Cambios de cerradura/control y uso alegados</w:t>
            </w:r>
          </w:p>
        </w:tc>
        <w:tc>
          <w:tcPr>
            <w:tcW w:type="dxa" w:w="1701"/>
          </w:tcPr>
          <w:p>
            <w:pPr>
              <w:spacing w:after="60" w:before="40" w:line="240" w:lineRule="auto"/>
            </w:pPr>
            <w:r>
              <w:rPr>
                <w:rFonts w:ascii="Liberation Sans" w:hAnsi="Liberation Sans"/>
                <w:b w:val="0"/>
                <w:sz w:val="18"/>
              </w:rPr>
              <w:t>07-06-2018 y actos posteriores por fechar</w:t>
            </w:r>
          </w:p>
        </w:tc>
        <w:tc>
          <w:tcPr>
            <w:tcW w:type="dxa" w:w="3969"/>
          </w:tcPr>
          <w:p>
            <w:pPr>
              <w:spacing w:after="60" w:before="40" w:line="240" w:lineRule="auto"/>
            </w:pPr>
            <w:r>
              <w:rPr>
                <w:rFonts w:ascii="Liberation Sans" w:hAnsi="Liberation Sans"/>
                <w:b w:val="0"/>
                <w:sz w:val="18"/>
              </w:rPr>
              <w:t>Protocolo 2150 28-11-2018; no convalidación 24-10-2019; situación posterior por conciliar</w:t>
            </w:r>
          </w:p>
        </w:tc>
        <w:tc>
          <w:tcPr>
            <w:tcW w:type="dxa" w:w="2438"/>
          </w:tcPr>
          <w:p>
            <w:pPr>
              <w:spacing w:after="60" w:before="40" w:line="240" w:lineRule="auto"/>
            </w:pPr>
            <w:r>
              <w:rPr>
                <w:rFonts w:ascii="Liberation Sans" w:hAnsi="Liberation Sans"/>
                <w:b w:val="0"/>
                <w:sz w:val="18"/>
              </w:rPr>
              <w:t>D16 p.7; D19 pp.2–6; D20</w:t>
            </w:r>
          </w:p>
        </w:tc>
      </w:tr>
      <w:tr>
        <w:trPr>
          <w:cantSplit/>
        </w:trPr>
        <w:tc>
          <w:tcPr>
            <w:tcW w:type="dxa" w:w="624"/>
          </w:tcPr>
          <w:p>
            <w:pPr>
              <w:spacing w:after="60" w:before="40" w:line="240" w:lineRule="auto"/>
            </w:pPr>
            <w:r>
              <w:rPr>
                <w:rFonts w:ascii="Liberation Sans" w:hAnsi="Liberation Sans"/>
                <w:b w:val="0"/>
                <w:sz w:val="18"/>
              </w:rPr>
              <w:t>A03</w:t>
            </w:r>
          </w:p>
        </w:tc>
        <w:tc>
          <w:tcPr>
            <w:tcW w:type="dxa" w:w="3005"/>
          </w:tcPr>
          <w:p>
            <w:pPr>
              <w:spacing w:after="60" w:before="40" w:line="240" w:lineRule="auto"/>
            </w:pPr>
            <w:r>
              <w:rPr>
                <w:rFonts w:ascii="Liberation Sans" w:hAnsi="Liberation Sans"/>
                <w:b w:val="0"/>
                <w:sz w:val="18"/>
              </w:rPr>
              <w:t>Destino de servicio y vinculación ob rem por título</w:t>
            </w:r>
          </w:p>
        </w:tc>
        <w:tc>
          <w:tcPr>
            <w:tcW w:type="dxa" w:w="2835"/>
          </w:tcPr>
          <w:p>
            <w:pPr>
              <w:spacing w:after="60" w:before="40" w:line="240" w:lineRule="auto"/>
            </w:pPr>
            <w:r>
              <w:rPr>
                <w:rFonts w:ascii="Liberation Sans" w:hAnsi="Liberation Sans"/>
                <w:b w:val="0"/>
                <w:sz w:val="18"/>
              </w:rPr>
              <w:t>Desvinculación/venta y control alegados</w:t>
            </w:r>
          </w:p>
        </w:tc>
        <w:tc>
          <w:tcPr>
            <w:tcW w:type="dxa" w:w="1701"/>
          </w:tcPr>
          <w:p>
            <w:pPr>
              <w:spacing w:after="60" w:before="40" w:line="240" w:lineRule="auto"/>
            </w:pPr>
            <w:r>
              <w:rPr>
                <w:rFonts w:ascii="Liberation Sans" w:hAnsi="Liberation Sans"/>
                <w:b w:val="0"/>
                <w:sz w:val="18"/>
              </w:rPr>
              <w:t>2018–2022</w:t>
            </w:r>
          </w:p>
        </w:tc>
        <w:tc>
          <w:tcPr>
            <w:tcW w:type="dxa" w:w="3969"/>
          </w:tcPr>
          <w:p>
            <w:pPr>
              <w:spacing w:after="60" w:before="40" w:line="240" w:lineRule="auto"/>
            </w:pPr>
            <w:r>
              <w:rPr>
                <w:rFonts w:ascii="Liberation Sans" w:hAnsi="Liberation Sans"/>
                <w:b w:val="0"/>
                <w:sz w:val="18"/>
              </w:rPr>
              <w:t>Protocolo 2150; suspensión registral parcial referida en D20; regularización sin acreditar</w:t>
            </w:r>
          </w:p>
        </w:tc>
        <w:tc>
          <w:tcPr>
            <w:tcW w:type="dxa" w:w="2438"/>
          </w:tcPr>
          <w:p>
            <w:pPr>
              <w:spacing w:after="60" w:before="40" w:line="240" w:lineRule="auto"/>
            </w:pPr>
            <w:r>
              <w:rPr>
                <w:rFonts w:ascii="Liberation Sans" w:hAnsi="Liberation Sans"/>
                <w:b w:val="0"/>
                <w:sz w:val="18"/>
              </w:rPr>
              <w:t>D13; D19; D20 pp.1,3,5</w:t>
            </w:r>
          </w:p>
        </w:tc>
      </w:tr>
      <w:tr>
        <w:trPr>
          <w:cantSplit/>
        </w:trPr>
        <w:tc>
          <w:tcPr>
            <w:tcW w:type="dxa" w:w="624"/>
          </w:tcPr>
          <w:p>
            <w:pPr>
              <w:spacing w:after="60" w:before="40" w:line="240" w:lineRule="auto"/>
            </w:pPr>
            <w:r>
              <w:rPr>
                <w:rFonts w:ascii="Liberation Sans" w:hAnsi="Liberation Sans"/>
                <w:b w:val="0"/>
                <w:sz w:val="18"/>
              </w:rPr>
              <w:t>A04</w:t>
            </w:r>
          </w:p>
        </w:tc>
        <w:tc>
          <w:tcPr>
            <w:tcW w:type="dxa" w:w="3005"/>
          </w:tcPr>
          <w:p>
            <w:pPr>
              <w:spacing w:after="60" w:before="40" w:line="240" w:lineRule="auto"/>
            </w:pPr>
            <w:r>
              <w:rPr>
                <w:rFonts w:ascii="Liberation Sans" w:hAnsi="Liberation Sans"/>
                <w:b w:val="0"/>
                <w:sz w:val="18"/>
              </w:rPr>
              <w:t>Título constitutivo, servidumbre/destino y acuerdos por aportar</w:t>
            </w:r>
          </w:p>
        </w:tc>
        <w:tc>
          <w:tcPr>
            <w:tcW w:type="dxa" w:w="2835"/>
          </w:tcPr>
          <w:p>
            <w:pPr>
              <w:spacing w:after="60" w:before="40" w:line="240" w:lineRule="auto"/>
            </w:pPr>
            <w:r>
              <w:rPr>
                <w:rFonts w:ascii="Liberation Sans" w:hAnsi="Liberation Sans"/>
                <w:b w:val="0"/>
                <w:sz w:val="18"/>
              </w:rPr>
              <w:t>Acceso, obras, mantenimiento, disposición alegados</w:t>
            </w:r>
          </w:p>
        </w:tc>
        <w:tc>
          <w:tcPr>
            <w:tcW w:type="dxa" w:w="1701"/>
          </w:tcPr>
          <w:p>
            <w:pPr>
              <w:spacing w:after="60" w:before="40" w:line="240" w:lineRule="auto"/>
            </w:pPr>
            <w:r>
              <w:rPr>
                <w:rFonts w:ascii="Liberation Sans" w:hAnsi="Liberation Sans"/>
                <w:b w:val="0"/>
                <w:sz w:val="18"/>
              </w:rPr>
              <w:t>07-06-2018 / 28-11-2018 y posterior</w:t>
            </w:r>
          </w:p>
        </w:tc>
        <w:tc>
          <w:tcPr>
            <w:tcW w:type="dxa" w:w="3969"/>
          </w:tcPr>
          <w:p>
            <w:pPr>
              <w:spacing w:after="60" w:before="40" w:line="240" w:lineRule="auto"/>
            </w:pPr>
            <w:r>
              <w:rPr>
                <w:rFonts w:ascii="Liberation Sans" w:hAnsi="Liberation Sans"/>
                <w:b w:val="0"/>
                <w:sz w:val="18"/>
              </w:rPr>
              <w:t>Misma rama de 400.000 euros, distinta de dación de apartamentos</w:t>
            </w:r>
          </w:p>
        </w:tc>
        <w:tc>
          <w:tcPr>
            <w:tcW w:type="dxa" w:w="2438"/>
          </w:tcPr>
          <w:p>
            <w:pPr>
              <w:spacing w:after="60" w:before="40" w:line="240" w:lineRule="auto"/>
            </w:pPr>
            <w:r>
              <w:rPr>
                <w:rFonts w:ascii="Liberation Sans" w:hAnsi="Liberation Sans"/>
                <w:b w:val="0"/>
                <w:sz w:val="18"/>
              </w:rPr>
              <w:t>D16 p.6; D18; D19; D20</w:t>
            </w:r>
          </w:p>
        </w:tc>
      </w:tr>
      <w:tr>
        <w:trPr>
          <w:cantSplit/>
        </w:trPr>
        <w:tc>
          <w:tcPr>
            <w:tcW w:type="dxa" w:w="624"/>
          </w:tcPr>
          <w:p>
            <w:pPr>
              <w:spacing w:after="60" w:before="40" w:line="240" w:lineRule="auto"/>
            </w:pPr>
            <w:r>
              <w:rPr>
                <w:rFonts w:ascii="Liberation Sans" w:hAnsi="Liberation Sans"/>
                <w:b w:val="0"/>
                <w:sz w:val="18"/>
              </w:rPr>
              <w:t>A05</w:t>
            </w:r>
          </w:p>
        </w:tc>
        <w:tc>
          <w:tcPr>
            <w:tcW w:type="dxa" w:w="3005"/>
          </w:tcPr>
          <w:p>
            <w:pPr>
              <w:spacing w:after="60" w:before="40" w:line="240" w:lineRule="auto"/>
            </w:pPr>
            <w:r>
              <w:rPr>
                <w:rFonts w:ascii="Liberation Sans" w:hAnsi="Liberation Sans"/>
                <w:b w:val="0"/>
                <w:sz w:val="18"/>
              </w:rPr>
              <w:t>Consentimiento y contratos propios de Matkator por producir</w:t>
            </w:r>
          </w:p>
        </w:tc>
        <w:tc>
          <w:tcPr>
            <w:tcW w:type="dxa" w:w="2835"/>
          </w:tcPr>
          <w:p>
            <w:pPr>
              <w:spacing w:after="60" w:before="40" w:line="240" w:lineRule="auto"/>
            </w:pPr>
            <w:r>
              <w:rPr>
                <w:rFonts w:ascii="Liberation Sans" w:hAnsi="Liberation Sans"/>
                <w:b w:val="0"/>
                <w:sz w:val="18"/>
              </w:rPr>
              <w:t>Obras, integración hotelera, uso e ingresos alegados</w:t>
            </w:r>
          </w:p>
        </w:tc>
        <w:tc>
          <w:tcPr>
            <w:tcW w:type="dxa" w:w="1701"/>
          </w:tcPr>
          <w:p>
            <w:pPr>
              <w:spacing w:after="60" w:before="40" w:line="240" w:lineRule="auto"/>
            </w:pPr>
            <w:r>
              <w:rPr>
                <w:rFonts w:ascii="Liberation Sans" w:hAnsi="Liberation Sans"/>
                <w:b w:val="0"/>
                <w:sz w:val="18"/>
              </w:rPr>
              <w:t>Desde 07-06-2018 según tesis; individualizar cada episodio</w:t>
            </w:r>
          </w:p>
        </w:tc>
        <w:tc>
          <w:tcPr>
            <w:tcW w:type="dxa" w:w="3969"/>
          </w:tcPr>
          <w:p>
            <w:pPr>
              <w:spacing w:after="60" w:before="40" w:line="240" w:lineRule="auto"/>
            </w:pPr>
            <w:r>
              <w:rPr>
                <w:rFonts w:ascii="Liberation Sans" w:hAnsi="Liberation Sans"/>
                <w:b w:val="0"/>
                <w:sz w:val="18"/>
              </w:rPr>
              <w:t>Una adjudicación de bienes LPB no prueba transmisión de Matkator</w:t>
            </w:r>
          </w:p>
        </w:tc>
        <w:tc>
          <w:tcPr>
            <w:tcW w:type="dxa" w:w="2438"/>
          </w:tcPr>
          <w:p>
            <w:pPr>
              <w:spacing w:after="60" w:before="40" w:line="240" w:lineRule="auto"/>
            </w:pPr>
            <w:r>
              <w:rPr>
                <w:rFonts w:ascii="Liberation Sans" w:hAnsi="Liberation Sans"/>
                <w:b w:val="0"/>
                <w:sz w:val="18"/>
              </w:rPr>
              <w:t>D2 pp.1–2; D3 pp.3–7; P01; P07</w:t>
            </w:r>
          </w:p>
        </w:tc>
      </w:tr>
      <w:tr>
        <w:trPr>
          <w:cantSplit/>
        </w:trPr>
        <w:tc>
          <w:tcPr>
            <w:tcW w:type="dxa" w:w="624"/>
          </w:tcPr>
          <w:p>
            <w:pPr>
              <w:spacing w:after="60" w:before="40" w:line="240" w:lineRule="auto"/>
            </w:pPr>
            <w:r>
              <w:rPr>
                <w:rFonts w:ascii="Liberation Sans" w:hAnsi="Liberation Sans"/>
                <w:b w:val="0"/>
                <w:sz w:val="18"/>
              </w:rPr>
              <w:t>A06</w:t>
            </w:r>
          </w:p>
        </w:tc>
        <w:tc>
          <w:tcPr>
            <w:tcW w:type="dxa" w:w="3005"/>
          </w:tcPr>
          <w:p>
            <w:pPr>
              <w:spacing w:after="60" w:before="40" w:line="240" w:lineRule="auto"/>
            </w:pPr>
            <w:r>
              <w:rPr>
                <w:rFonts w:ascii="Liberation Sans" w:hAnsi="Liberation Sans"/>
                <w:b w:val="0"/>
                <w:sz w:val="18"/>
              </w:rPr>
              <w:t>La Comunidad requiere facultad concreta para vincularlos</w:t>
            </w:r>
          </w:p>
        </w:tc>
        <w:tc>
          <w:tcPr>
            <w:tcW w:type="dxa" w:w="2835"/>
          </w:tcPr>
          <w:p>
            <w:pPr>
              <w:spacing w:after="60" w:before="40" w:line="240" w:lineRule="auto"/>
            </w:pPr>
            <w:r>
              <w:rPr>
                <w:rFonts w:ascii="Liberation Sans" w:hAnsi="Liberation Sans"/>
                <w:b w:val="0"/>
                <w:sz w:val="18"/>
              </w:rPr>
              <w:t>Acceso y explotación conjunta alegados</w:t>
            </w:r>
          </w:p>
        </w:tc>
        <w:tc>
          <w:tcPr>
            <w:tcW w:type="dxa" w:w="1701"/>
          </w:tcPr>
          <w:p>
            <w:pPr>
              <w:spacing w:after="60" w:before="40" w:line="240" w:lineRule="auto"/>
            </w:pPr>
            <w:r>
              <w:rPr>
                <w:rFonts w:ascii="Liberation Sans" w:hAnsi="Liberation Sans"/>
                <w:b w:val="0"/>
                <w:sz w:val="18"/>
              </w:rPr>
              <w:t>Corte 07-06-2018 y sucesivas transmisiones</w:t>
            </w:r>
          </w:p>
        </w:tc>
        <w:tc>
          <w:tcPr>
            <w:tcW w:type="dxa" w:w="3969"/>
          </w:tcPr>
          <w:p>
            <w:pPr>
              <w:spacing w:after="60" w:before="40" w:line="240" w:lineRule="auto"/>
            </w:pPr>
            <w:r>
              <w:rPr>
                <w:rFonts w:ascii="Liberation Sans" w:hAnsi="Liberation Sans"/>
                <w:b w:val="0"/>
                <w:sz w:val="18"/>
              </w:rPr>
              <w:t>Separar compras anteriores de CAM de títulos 2018/2022 sobre LPB</w:t>
            </w:r>
          </w:p>
        </w:tc>
        <w:tc>
          <w:tcPr>
            <w:tcW w:type="dxa" w:w="2438"/>
          </w:tcPr>
          <w:p>
            <w:pPr>
              <w:spacing w:after="60" w:before="40" w:line="240" w:lineRule="auto"/>
            </w:pPr>
            <w:r>
              <w:rPr>
                <w:rFonts w:ascii="Liberation Sans" w:hAnsi="Liberation Sans"/>
                <w:b w:val="0"/>
                <w:sz w:val="18"/>
              </w:rPr>
              <w:t>D16 p.10; D18; D25–D27; P01</w:t>
            </w:r>
          </w:p>
        </w:tc>
      </w:tr>
      <w:tr>
        <w:trPr>
          <w:cantSplit/>
        </w:trPr>
        <w:tc>
          <w:tcPr>
            <w:tcW w:type="dxa" w:w="624"/>
          </w:tcPr>
          <w:p>
            <w:pPr>
              <w:spacing w:after="60" w:before="40" w:line="240" w:lineRule="auto"/>
            </w:pPr>
            <w:r>
              <w:rPr>
                <w:rFonts w:ascii="Liberation Sans" w:hAnsi="Liberation Sans"/>
                <w:b w:val="0"/>
                <w:sz w:val="18"/>
              </w:rPr>
              <w:t>A07</w:t>
            </w:r>
          </w:p>
        </w:tc>
        <w:tc>
          <w:tcPr>
            <w:tcW w:type="dxa" w:w="3005"/>
          </w:tcPr>
          <w:p>
            <w:pPr>
              <w:spacing w:after="60" w:before="40" w:line="240" w:lineRule="auto"/>
            </w:pPr>
            <w:r>
              <w:rPr>
                <w:rFonts w:ascii="Liberation Sans" w:hAnsi="Liberation Sans"/>
                <w:b w:val="0"/>
                <w:sz w:val="18"/>
              </w:rPr>
              <w:t>Uso según contrato y pertenencia</w:t>
            </w:r>
          </w:p>
        </w:tc>
        <w:tc>
          <w:tcPr>
            <w:tcW w:type="dxa" w:w="2835"/>
          </w:tcPr>
          <w:p>
            <w:pPr>
              <w:spacing w:after="60" w:before="40" w:line="240" w:lineRule="auto"/>
            </w:pPr>
            <w:r>
              <w:rPr>
                <w:rFonts w:ascii="Liberation Sans" w:hAnsi="Liberation Sans"/>
                <w:b w:val="0"/>
                <w:sz w:val="18"/>
              </w:rPr>
              <w:t>Daño, desaparición o traslado alegado</w:t>
            </w:r>
          </w:p>
        </w:tc>
        <w:tc>
          <w:tcPr>
            <w:tcW w:type="dxa" w:w="1701"/>
          </w:tcPr>
          <w:p>
            <w:pPr>
              <w:spacing w:after="60" w:before="40" w:line="240" w:lineRule="auto"/>
            </w:pPr>
            <w:r>
              <w:rPr>
                <w:rFonts w:ascii="Liberation Sans" w:hAnsi="Liberation Sans"/>
                <w:b w:val="0"/>
                <w:sz w:val="18"/>
              </w:rPr>
              <w:t>Junio 2018; precisar objetos y fechas</w:t>
            </w:r>
          </w:p>
        </w:tc>
        <w:tc>
          <w:tcPr>
            <w:tcW w:type="dxa" w:w="3969"/>
          </w:tcPr>
          <w:p>
            <w:pPr>
              <w:spacing w:after="60" w:before="40" w:line="240" w:lineRule="auto"/>
            </w:pPr>
            <w:r>
              <w:rPr>
                <w:rFonts w:ascii="Liberation Sans" w:hAnsi="Liberation Sans"/>
                <w:b w:val="0"/>
                <w:sz w:val="18"/>
              </w:rPr>
              <w:t>La transmisión de fincas no identifica automáticamente cada mueble/documento</w:t>
            </w:r>
          </w:p>
        </w:tc>
        <w:tc>
          <w:tcPr>
            <w:tcW w:type="dxa" w:w="2438"/>
          </w:tcPr>
          <w:p>
            <w:pPr>
              <w:spacing w:after="60" w:before="40" w:line="240" w:lineRule="auto"/>
            </w:pPr>
            <w:r>
              <w:rPr>
                <w:rFonts w:ascii="Liberation Sans" w:hAnsi="Liberation Sans"/>
                <w:b w:val="0"/>
                <w:sz w:val="18"/>
              </w:rPr>
              <w:t>D12; D15 pp.3–5; D16 pp.6–7; P04</w:t>
            </w:r>
          </w:p>
        </w:tc>
      </w:tr>
      <w:tr>
        <w:trPr>
          <w:cantSplit/>
        </w:trPr>
        <w:tc>
          <w:tcPr>
            <w:tcW w:type="dxa" w:w="624"/>
          </w:tcPr>
          <w:p>
            <w:pPr>
              <w:spacing w:after="60" w:before="40" w:line="240" w:lineRule="auto"/>
            </w:pPr>
            <w:r>
              <w:rPr>
                <w:rFonts w:ascii="Liberation Sans" w:hAnsi="Liberation Sans"/>
                <w:b w:val="0"/>
                <w:sz w:val="18"/>
              </w:rPr>
              <w:t>A08</w:t>
            </w:r>
          </w:p>
        </w:tc>
        <w:tc>
          <w:tcPr>
            <w:tcW w:type="dxa" w:w="3005"/>
          </w:tcPr>
          <w:p>
            <w:pPr>
              <w:spacing w:after="60" w:before="40" w:line="240" w:lineRule="auto"/>
            </w:pPr>
            <w:r>
              <w:rPr>
                <w:rFonts w:ascii="Liberation Sans" w:hAnsi="Liberation Sans"/>
                <w:b w:val="0"/>
                <w:sz w:val="18"/>
              </w:rPr>
              <w:t>Gestión de comunes distinta de negocio hotelero integral</w:t>
            </w:r>
          </w:p>
        </w:tc>
        <w:tc>
          <w:tcPr>
            <w:tcW w:type="dxa" w:w="2835"/>
          </w:tcPr>
          <w:p>
            <w:pPr>
              <w:spacing w:after="60" w:before="40" w:line="240" w:lineRule="auto"/>
            </w:pPr>
            <w:r>
              <w:rPr>
                <w:rFonts w:ascii="Liberation Sans" w:hAnsi="Liberation Sans"/>
                <w:b w:val="0"/>
                <w:sz w:val="18"/>
              </w:rPr>
              <w:t>Decisiones comunitarias, votación y control alegados</w:t>
            </w:r>
          </w:p>
        </w:tc>
        <w:tc>
          <w:tcPr>
            <w:tcW w:type="dxa" w:w="1701"/>
          </w:tcPr>
          <w:p>
            <w:pPr>
              <w:spacing w:after="60" w:before="40" w:line="240" w:lineRule="auto"/>
            </w:pPr>
            <w:r>
              <w:rPr>
                <w:rFonts w:ascii="Liberation Sans" w:hAnsi="Liberation Sans"/>
                <w:b w:val="0"/>
                <w:sz w:val="18"/>
              </w:rPr>
              <w:t>18-05-2018; 07-06-2018; 05-07-2018</w:t>
            </w:r>
          </w:p>
        </w:tc>
        <w:tc>
          <w:tcPr>
            <w:tcW w:type="dxa" w:w="3969"/>
          </w:tcPr>
          <w:p>
            <w:pPr>
              <w:spacing w:after="60" w:before="40" w:line="240" w:lineRule="auto"/>
            </w:pPr>
            <w:r>
              <w:rPr>
                <w:rFonts w:ascii="Liberation Sans" w:hAnsi="Liberation Sans"/>
                <w:b w:val="0"/>
                <w:sz w:val="18"/>
              </w:rPr>
              <w:t>No equiparar incorporación física a transferencia dominical</w:t>
            </w:r>
          </w:p>
        </w:tc>
        <w:tc>
          <w:tcPr>
            <w:tcW w:type="dxa" w:w="2438"/>
          </w:tcPr>
          <w:p>
            <w:pPr>
              <w:spacing w:after="60" w:before="40" w:line="240" w:lineRule="auto"/>
            </w:pPr>
            <w:r>
              <w:rPr>
                <w:rFonts w:ascii="Liberation Sans" w:hAnsi="Liberation Sans"/>
                <w:b w:val="0"/>
                <w:sz w:val="18"/>
              </w:rPr>
              <w:t>D17; D16 pp.6–10; P01–P02</w:t>
            </w:r>
          </w:p>
        </w:tc>
      </w:tr>
      <w:tr>
        <w:trPr>
          <w:cantSplit/>
        </w:trPr>
        <w:tc>
          <w:tcPr>
            <w:tcW w:type="dxa" w:w="624"/>
          </w:tcPr>
          <w:p>
            <w:pPr>
              <w:spacing w:after="60" w:before="40" w:line="240" w:lineRule="auto"/>
            </w:pPr>
            <w:r>
              <w:rPr>
                <w:rFonts w:ascii="Liberation Sans" w:hAnsi="Liberation Sans"/>
                <w:b w:val="0"/>
                <w:sz w:val="18"/>
              </w:rPr>
              <w:t>A09</w:t>
            </w:r>
          </w:p>
        </w:tc>
        <w:tc>
          <w:tcPr>
            <w:tcW w:type="dxa" w:w="3005"/>
          </w:tcPr>
          <w:p>
            <w:pPr>
              <w:spacing w:after="60" w:before="40" w:line="240" w:lineRule="auto"/>
            </w:pPr>
            <w:r>
              <w:rPr>
                <w:rFonts w:ascii="Liberation Sans" w:hAnsi="Liberation Sans"/>
                <w:b w:val="0"/>
                <w:sz w:val="18"/>
              </w:rPr>
              <w:t>Contratos y límites del encargo de seguridad por recuperar</w:t>
            </w:r>
          </w:p>
        </w:tc>
        <w:tc>
          <w:tcPr>
            <w:tcW w:type="dxa" w:w="2835"/>
          </w:tcPr>
          <w:p>
            <w:pPr>
              <w:spacing w:after="60" w:before="40" w:line="240" w:lineRule="auto"/>
            </w:pPr>
            <w:r>
              <w:rPr>
                <w:rFonts w:ascii="Liberation Sans" w:hAnsi="Liberation Sans"/>
                <w:b w:val="0"/>
                <w:sz w:val="18"/>
              </w:rPr>
              <w:t>Restricciones y cortes alegados; D15 recoge suministro normal</w:t>
            </w:r>
          </w:p>
        </w:tc>
        <w:tc>
          <w:tcPr>
            <w:tcW w:type="dxa" w:w="1701"/>
          </w:tcPr>
          <w:p>
            <w:pPr>
              <w:spacing w:after="60" w:before="40" w:line="240" w:lineRule="auto"/>
            </w:pPr>
            <w:r>
              <w:rPr>
                <w:rFonts w:ascii="Liberation Sans" w:hAnsi="Liberation Sans"/>
                <w:b w:val="0"/>
                <w:sz w:val="18"/>
              </w:rPr>
              <w:t>Episodios desde 07-06-2018, sin presumir corte continuo</w:t>
            </w:r>
          </w:p>
        </w:tc>
        <w:tc>
          <w:tcPr>
            <w:tcW w:type="dxa" w:w="3969"/>
          </w:tcPr>
          <w:p>
            <w:pPr>
              <w:spacing w:after="60" w:before="40" w:line="240" w:lineRule="auto"/>
            </w:pPr>
            <w:r>
              <w:rPr>
                <w:rFonts w:ascii="Liberation Sans" w:hAnsi="Liberation Sans"/>
                <w:b w:val="0"/>
                <w:sz w:val="18"/>
              </w:rPr>
              <w:t>Obras o titularidad ulterior no legitiman por sí solas cada actuación anterior</w:t>
            </w:r>
          </w:p>
        </w:tc>
        <w:tc>
          <w:tcPr>
            <w:tcW w:type="dxa" w:w="2438"/>
          </w:tcPr>
          <w:p>
            <w:pPr>
              <w:spacing w:after="60" w:before="40" w:line="240" w:lineRule="auto"/>
            </w:pPr>
            <w:r>
              <w:rPr>
                <w:rFonts w:ascii="Liberation Sans" w:hAnsi="Liberation Sans"/>
                <w:b w:val="0"/>
                <w:sz w:val="18"/>
              </w:rPr>
              <w:t>D15; D16 p.7; D30; P02–P03</w:t>
            </w:r>
          </w:p>
        </w:tc>
      </w:tr>
      <w:tr>
        <w:trPr>
          <w:cantSplit/>
        </w:trPr>
        <w:tc>
          <w:tcPr>
            <w:tcW w:type="dxa" w:w="624"/>
          </w:tcPr>
          <w:p>
            <w:pPr>
              <w:spacing w:after="60" w:before="40" w:line="240" w:lineRule="auto"/>
            </w:pPr>
            <w:r>
              <w:rPr>
                <w:rFonts w:ascii="Liberation Sans" w:hAnsi="Liberation Sans"/>
                <w:b w:val="0"/>
                <w:sz w:val="18"/>
              </w:rPr>
              <w:t>A10</w:t>
            </w:r>
          </w:p>
        </w:tc>
        <w:tc>
          <w:tcPr>
            <w:tcW w:type="dxa" w:w="3005"/>
          </w:tcPr>
          <w:p>
            <w:pPr>
              <w:spacing w:after="60" w:before="40" w:line="240" w:lineRule="auto"/>
            </w:pPr>
            <w:r>
              <w:rPr>
                <w:rFonts w:ascii="Liberation Sans" w:hAnsi="Liberation Sans"/>
                <w:b w:val="0"/>
                <w:sz w:val="18"/>
              </w:rPr>
              <w:t>Pink / CEXP / LPB / Clubotel / operadores posteriores son posiciones distintas</w:t>
            </w:r>
          </w:p>
        </w:tc>
        <w:tc>
          <w:tcPr>
            <w:tcW w:type="dxa" w:w="2835"/>
          </w:tcPr>
          <w:p>
            <w:pPr>
              <w:spacing w:after="60" w:before="40" w:line="240" w:lineRule="auto"/>
            </w:pPr>
            <w:r>
              <w:rPr>
                <w:rFonts w:ascii="Liberation Sans" w:hAnsi="Liberation Sans"/>
                <w:b w:val="0"/>
                <w:sz w:val="18"/>
              </w:rPr>
              <w:t>Pérdida de clientes, explotación y monetización alegadas</w:t>
            </w:r>
          </w:p>
        </w:tc>
        <w:tc>
          <w:tcPr>
            <w:tcW w:type="dxa" w:w="1701"/>
          </w:tcPr>
          <w:p>
            <w:pPr>
              <w:spacing w:after="60" w:before="40" w:line="240" w:lineRule="auto"/>
            </w:pPr>
            <w:r>
              <w:rPr>
                <w:rFonts w:ascii="Liberation Sans" w:hAnsi="Liberation Sans"/>
                <w:b w:val="0"/>
                <w:sz w:val="18"/>
              </w:rPr>
              <w:t>Preconcurso; 2012; 2017; junio 2018; 2019; 2020–2026</w:t>
            </w:r>
          </w:p>
        </w:tc>
        <w:tc>
          <w:tcPr>
            <w:tcW w:type="dxa" w:w="3969"/>
          </w:tcPr>
          <w:p>
            <w:pPr>
              <w:spacing w:after="60" w:before="40" w:line="240" w:lineRule="auto"/>
            </w:pPr>
            <w:r>
              <w:rPr>
                <w:rFonts w:ascii="Liberation Sans" w:hAnsi="Liberation Sans"/>
                <w:b w:val="0"/>
                <w:sz w:val="18"/>
              </w:rPr>
              <w:t>Dación no prueba cada permiso de explotación ni pago/beneficio económico</w:t>
            </w:r>
          </w:p>
        </w:tc>
        <w:tc>
          <w:tcPr>
            <w:tcW w:type="dxa" w:w="2438"/>
          </w:tcPr>
          <w:p>
            <w:pPr>
              <w:spacing w:after="60" w:before="40" w:line="240" w:lineRule="auto"/>
            </w:pPr>
            <w:r>
              <w:rPr>
                <w:rFonts w:ascii="Liberation Sans" w:hAnsi="Liberation Sans"/>
                <w:b w:val="0"/>
                <w:sz w:val="18"/>
              </w:rPr>
              <w:t>D2–D3; D12; D15; D25–D29; P06–P07</w:t>
            </w:r>
          </w:p>
        </w:tc>
      </w:tr>
    </w:tbl>
    <w:p/>
    <w:p>
      <w:pPr>
        <w:pStyle w:val="Heading1"/>
        <w:pageBreakBefore/>
      </w:pPr>
      <w:r>
        <w:t>4 Conexiones entre procedimientos</w:t>
      </w:r>
    </w:p>
    <w:tbl>
      <w:tblPr>
        <w:tblStyle w:val="TableGrid"/>
        <w:tblW w:type="auto" w:w="0"/>
        <w:tblLayout w:type="fixed"/>
        <w:tblLook w:firstColumn="1" w:firstRow="1" w:lastColumn="0" w:lastRow="0" w:noHBand="0" w:noVBand="1" w:val="04A0"/>
      </w:tblPr>
      <w:tblGrid>
        <w:gridCol w:w="2268"/>
        <w:gridCol w:w="2721"/>
        <w:gridCol w:w="3969"/>
        <w:gridCol w:w="4195"/>
        <w:gridCol w:w="1417"/>
      </w:tblGrid>
      <w:tr>
        <w:trPr>
          <w:tblHeader/>
          <w:cantSplit/>
        </w:trPr>
        <w:tc>
          <w:tcPr>
            <w:tcW w:type="dxa" w:w="2268"/>
            <w:shd w:fill="E8EBEF"/>
          </w:tcPr>
          <w:p>
            <w:pPr>
              <w:spacing w:after="60" w:before="40" w:line="240" w:lineRule="auto"/>
            </w:pPr>
            <w:r>
              <w:rPr>
                <w:rFonts w:ascii="Liberation Sans" w:hAnsi="Liberation Sans"/>
                <w:b/>
                <w:sz w:val="18"/>
              </w:rPr>
              <w:t>Conexión</w:t>
            </w:r>
          </w:p>
        </w:tc>
        <w:tc>
          <w:tcPr>
            <w:tcW w:type="dxa" w:w="2721"/>
            <w:shd w:fill="E8EBEF"/>
          </w:tcPr>
          <w:p>
            <w:pPr>
              <w:spacing w:after="60" w:before="40" w:line="240" w:lineRule="auto"/>
            </w:pPr>
            <w:r>
              <w:rPr>
                <w:rFonts w:ascii="Liberation Sans" w:hAnsi="Liberation Sans"/>
                <w:b/>
                <w:sz w:val="18"/>
              </w:rPr>
              <w:t>Documento que la sostiene</w:t>
            </w:r>
          </w:p>
        </w:tc>
        <w:tc>
          <w:tcPr>
            <w:tcW w:type="dxa" w:w="3969"/>
            <w:shd w:fill="E8EBEF"/>
          </w:tcPr>
          <w:p>
            <w:pPr>
              <w:spacing w:after="60" w:before="40" w:line="240" w:lineRule="auto"/>
            </w:pPr>
            <w:r>
              <w:rPr>
                <w:rFonts w:ascii="Liberation Sans" w:hAnsi="Liberation Sans"/>
                <w:b/>
                <w:sz w:val="18"/>
              </w:rPr>
              <w:t>Por qué cambia la interpretación</w:t>
            </w:r>
          </w:p>
        </w:tc>
        <w:tc>
          <w:tcPr>
            <w:tcW w:type="dxa" w:w="4195"/>
            <w:shd w:fill="E8EBEF"/>
          </w:tcPr>
          <w:p>
            <w:pPr>
              <w:spacing w:after="60" w:before="40" w:line="240" w:lineRule="auto"/>
            </w:pPr>
            <w:r>
              <w:rPr>
                <w:rFonts w:ascii="Liberation Sans" w:hAnsi="Liberation Sans"/>
                <w:b/>
                <w:sz w:val="18"/>
              </w:rPr>
              <w:t>Límite</w:t>
            </w:r>
          </w:p>
        </w:tc>
        <w:tc>
          <w:tcPr>
            <w:tcW w:type="dxa" w:w="1417"/>
            <w:shd w:fill="E8EBEF"/>
          </w:tcPr>
          <w:p>
            <w:pPr>
              <w:spacing w:after="60" w:before="40" w:line="240" w:lineRule="auto"/>
            </w:pPr>
            <w:r>
              <w:rPr>
                <w:rFonts w:ascii="Liberation Sans" w:hAnsi="Liberation Sans"/>
                <w:b/>
                <w:sz w:val="18"/>
              </w:rPr>
              <w:t>Solicitud</w:t>
            </w:r>
          </w:p>
        </w:tc>
      </w:tr>
      <w:tr>
        <w:trPr>
          <w:cantSplit/>
        </w:trPr>
        <w:tc>
          <w:tcPr>
            <w:tcW w:type="dxa" w:w="2268"/>
          </w:tcPr>
          <w:p>
            <w:pPr>
              <w:spacing w:after="60" w:before="40" w:line="240" w:lineRule="auto"/>
            </w:pPr>
            <w:r>
              <w:rPr>
                <w:rFonts w:ascii="Liberation Sans" w:hAnsi="Liberation Sans"/>
                <w:b w:val="0"/>
                <w:sz w:val="18"/>
              </w:rPr>
              <w:t>C36 → DI 248</w:t>
            </w:r>
          </w:p>
        </w:tc>
        <w:tc>
          <w:tcPr>
            <w:tcW w:type="dxa" w:w="2721"/>
          </w:tcPr>
          <w:p>
            <w:pPr>
              <w:spacing w:after="60" w:before="40" w:line="240" w:lineRule="auto"/>
            </w:pPr>
            <w:r>
              <w:rPr>
                <w:rFonts w:ascii="Liberation Sans" w:hAnsi="Liberation Sans"/>
                <w:b w:val="0"/>
                <w:sz w:val="18"/>
              </w:rPr>
              <w:t>D11 invocado expresamente por D10</w:t>
            </w:r>
          </w:p>
        </w:tc>
        <w:tc>
          <w:tcPr>
            <w:tcW w:type="dxa" w:w="3969"/>
          </w:tcPr>
          <w:p>
            <w:pPr>
              <w:spacing w:after="60" w:before="40" w:line="240" w:lineRule="auto"/>
            </w:pPr>
            <w:r>
              <w:rPr>
                <w:rFonts w:ascii="Liberation Sans" w:hAnsi="Liberation Sans"/>
                <w:b w:val="0"/>
                <w:sz w:val="18"/>
              </w:rPr>
              <w:t>Informe de calificación contra denunciante se utiliza al evaluar denuncia contra AC/CAM</w:t>
            </w:r>
          </w:p>
        </w:tc>
        <w:tc>
          <w:tcPr>
            <w:tcW w:type="dxa" w:w="4195"/>
          </w:tcPr>
          <w:p>
            <w:pPr>
              <w:spacing w:after="60" w:before="40" w:line="240" w:lineRule="auto"/>
            </w:pPr>
            <w:r>
              <w:rPr>
                <w:rFonts w:ascii="Liberation Sans" w:hAnsi="Liberation Sans"/>
                <w:b w:val="0"/>
                <w:sz w:val="18"/>
              </w:rPr>
              <w:t>Comparar objeto y fuentes; no convertir acusación concursal en hecho ni licitud de terceros</w:t>
            </w:r>
          </w:p>
        </w:tc>
        <w:tc>
          <w:tcPr>
            <w:tcW w:type="dxa" w:w="1417"/>
          </w:tcPr>
          <w:p>
            <w:pPr>
              <w:spacing w:after="60" w:before="40" w:line="240" w:lineRule="auto"/>
            </w:pPr>
            <w:r>
              <w:rPr>
                <w:rFonts w:ascii="Liberation Sans" w:hAnsi="Liberation Sans"/>
                <w:b w:val="0"/>
                <w:sz w:val="18"/>
              </w:rPr>
              <w:t>I04</w:t>
            </w:r>
          </w:p>
        </w:tc>
      </w:tr>
      <w:tr>
        <w:trPr>
          <w:cantSplit/>
        </w:trPr>
        <w:tc>
          <w:tcPr>
            <w:tcW w:type="dxa" w:w="2268"/>
          </w:tcPr>
          <w:p>
            <w:pPr>
              <w:spacing w:after="60" w:before="40" w:line="240" w:lineRule="auto"/>
            </w:pPr>
            <w:r>
              <w:rPr>
                <w:rFonts w:ascii="Liberation Sans" w:hAnsi="Liberation Sans"/>
                <w:b w:val="0"/>
                <w:sz w:val="18"/>
              </w:rPr>
              <w:t>DP 1132 → DI 248</w:t>
            </w:r>
          </w:p>
        </w:tc>
        <w:tc>
          <w:tcPr>
            <w:tcW w:type="dxa" w:w="2721"/>
          </w:tcPr>
          <w:p>
            <w:pPr>
              <w:spacing w:after="60" w:before="40" w:line="240" w:lineRule="auto"/>
            </w:pPr>
            <w:r>
              <w:rPr>
                <w:rFonts w:ascii="Liberation Sans" w:hAnsi="Liberation Sans"/>
                <w:b w:val="0"/>
                <w:sz w:val="18"/>
              </w:rPr>
              <w:t>D15 resuelve apelación antes del decreto; D16 delimita facultades</w:t>
            </w:r>
          </w:p>
        </w:tc>
        <w:tc>
          <w:tcPr>
            <w:tcW w:type="dxa" w:w="3969"/>
          </w:tcPr>
          <w:p>
            <w:pPr>
              <w:spacing w:after="60" w:before="40" w:line="240" w:lineRule="auto"/>
            </w:pPr>
            <w:r>
              <w:rPr>
                <w:rFonts w:ascii="Liberation Sans" w:hAnsi="Liberation Sans"/>
                <w:b w:val="0"/>
                <w:sz w:val="18"/>
              </w:rPr>
              <w:t>Cuestiona referencia a apelación pendiente y obliga a conservar el examen judicial adverso</w:t>
            </w:r>
          </w:p>
        </w:tc>
        <w:tc>
          <w:tcPr>
            <w:tcW w:type="dxa" w:w="4195"/>
          </w:tcPr>
          <w:p>
            <w:pPr>
              <w:spacing w:after="60" w:before="40" w:line="240" w:lineRule="auto"/>
            </w:pPr>
            <w:r>
              <w:rPr>
                <w:rFonts w:ascii="Liberation Sans" w:hAnsi="Liberation Sans"/>
                <w:b w:val="0"/>
                <w:sz w:val="18"/>
              </w:rPr>
              <w:t>No declarar nunca investigado; cotejar qué se recibió y qué quedaba distinto</w:t>
            </w:r>
          </w:p>
        </w:tc>
        <w:tc>
          <w:tcPr>
            <w:tcW w:type="dxa" w:w="1417"/>
          </w:tcPr>
          <w:p>
            <w:pPr>
              <w:spacing w:after="60" w:before="40" w:line="240" w:lineRule="auto"/>
            </w:pPr>
            <w:r>
              <w:rPr>
                <w:rFonts w:ascii="Liberation Sans" w:hAnsi="Liberation Sans"/>
                <w:b w:val="0"/>
                <w:sz w:val="18"/>
              </w:rPr>
              <w:t>I03;I05;P02</w:t>
            </w:r>
          </w:p>
        </w:tc>
      </w:tr>
      <w:tr>
        <w:trPr>
          <w:cantSplit/>
        </w:trPr>
        <w:tc>
          <w:tcPr>
            <w:tcW w:type="dxa" w:w="2268"/>
          </w:tcPr>
          <w:p>
            <w:pPr>
              <w:spacing w:after="60" w:before="40" w:line="240" w:lineRule="auto"/>
            </w:pPr>
            <w:r>
              <w:rPr>
                <w:rFonts w:ascii="Liberation Sans" w:hAnsi="Liberation Sans"/>
                <w:b w:val="0"/>
                <w:sz w:val="18"/>
              </w:rPr>
              <w:t>Locales 2018 → Auto 2019 →2022</w:t>
            </w:r>
          </w:p>
        </w:tc>
        <w:tc>
          <w:tcPr>
            <w:tcW w:type="dxa" w:w="2721"/>
          </w:tcPr>
          <w:p>
            <w:pPr>
              <w:spacing w:after="60" w:before="40" w:line="240" w:lineRule="auto"/>
            </w:pPr>
            <w:r>
              <w:rPr>
                <w:rFonts w:ascii="Liberation Sans" w:hAnsi="Liberation Sans"/>
                <w:b w:val="0"/>
                <w:sz w:val="18"/>
              </w:rPr>
              <w:t>D19 corrige venta separada; D22 formaliza fincas de apartamentos</w:t>
            </w:r>
          </w:p>
        </w:tc>
        <w:tc>
          <w:tcPr>
            <w:tcW w:type="dxa" w:w="3969"/>
          </w:tcPr>
          <w:p>
            <w:pPr>
              <w:spacing w:after="60" w:before="40" w:line="240" w:lineRule="auto"/>
            </w:pPr>
            <w:r>
              <w:rPr>
                <w:rFonts w:ascii="Liberation Sans" w:hAnsi="Liberation Sans"/>
                <w:b w:val="0"/>
                <w:sz w:val="18"/>
              </w:rPr>
              <w:t>La dación posterior no concilia por sí sola el precio, ob rem o título de locales/piscinas</w:t>
            </w:r>
          </w:p>
        </w:tc>
        <w:tc>
          <w:tcPr>
            <w:tcW w:type="dxa" w:w="4195"/>
          </w:tcPr>
          <w:p>
            <w:pPr>
              <w:spacing w:after="60" w:before="40" w:line="240" w:lineRule="auto"/>
            </w:pPr>
            <w:r>
              <w:rPr>
                <w:rFonts w:ascii="Liberation Sans" w:hAnsi="Liberation Sans"/>
                <w:b w:val="0"/>
                <w:sz w:val="18"/>
              </w:rPr>
              <w:t>Reversión condicional; no presumir nulidad/restauración automática</w:t>
            </w:r>
          </w:p>
        </w:tc>
        <w:tc>
          <w:tcPr>
            <w:tcW w:type="dxa" w:w="1417"/>
          </w:tcPr>
          <w:p>
            <w:pPr>
              <w:spacing w:after="60" w:before="40" w:line="240" w:lineRule="auto"/>
            </w:pPr>
            <w:r>
              <w:rPr>
                <w:rFonts w:ascii="Liberation Sans" w:hAnsi="Liberation Sans"/>
                <w:b w:val="0"/>
                <w:sz w:val="18"/>
              </w:rPr>
              <w:t>P05</w:t>
            </w:r>
          </w:p>
        </w:tc>
      </w:tr>
      <w:tr>
        <w:trPr>
          <w:cantSplit/>
        </w:trPr>
        <w:tc>
          <w:tcPr>
            <w:tcW w:type="dxa" w:w="2268"/>
          </w:tcPr>
          <w:p>
            <w:pPr>
              <w:spacing w:after="60" w:before="40" w:line="240" w:lineRule="auto"/>
            </w:pPr>
            <w:r>
              <w:rPr>
                <w:rFonts w:ascii="Liberation Sans" w:hAnsi="Liberation Sans"/>
                <w:b w:val="0"/>
                <w:sz w:val="18"/>
              </w:rPr>
              <w:t>ONA2018/2019 → calificación</w:t>
            </w:r>
          </w:p>
        </w:tc>
        <w:tc>
          <w:tcPr>
            <w:tcW w:type="dxa" w:w="2721"/>
          </w:tcPr>
          <w:p>
            <w:pPr>
              <w:spacing w:after="60" w:before="40" w:line="240" w:lineRule="auto"/>
            </w:pPr>
            <w:r>
              <w:rPr>
                <w:rFonts w:ascii="Liberation Sans" w:hAnsi="Liberation Sans"/>
                <w:b w:val="0"/>
                <w:sz w:val="18"/>
              </w:rPr>
              <w:t>D13, D25–D29 documentan alegación y estructura comercial</w:t>
            </w:r>
          </w:p>
        </w:tc>
        <w:tc>
          <w:tcPr>
            <w:tcW w:type="dxa" w:w="3969"/>
          </w:tcPr>
          <w:p>
            <w:pPr>
              <w:spacing w:after="60" w:before="40" w:line="240" w:lineRule="auto"/>
            </w:pPr>
            <w:r>
              <w:rPr>
                <w:rFonts w:ascii="Liberation Sans" w:hAnsi="Liberation Sans"/>
                <w:b w:val="0"/>
                <w:sz w:val="18"/>
              </w:rPr>
              <w:t>Interesa a la tesis de no colaboración y a causas de pérdida operativa</w:t>
            </w:r>
          </w:p>
        </w:tc>
        <w:tc>
          <w:tcPr>
            <w:tcW w:type="dxa" w:w="4195"/>
          </w:tcPr>
          <w:p>
            <w:pPr>
              <w:spacing w:after="60" w:before="40" w:line="240" w:lineRule="auto"/>
            </w:pPr>
            <w:r>
              <w:rPr>
                <w:rFonts w:ascii="Liberation Sans" w:hAnsi="Liberation Sans"/>
                <w:b w:val="0"/>
                <w:sz w:val="18"/>
              </w:rPr>
              <w:t>Financiación condicionada; conocimiento fiscal y presentación judicial por probar</w:t>
            </w:r>
          </w:p>
        </w:tc>
        <w:tc>
          <w:tcPr>
            <w:tcW w:type="dxa" w:w="1417"/>
          </w:tcPr>
          <w:p>
            <w:pPr>
              <w:spacing w:after="60" w:before="40" w:line="240" w:lineRule="auto"/>
            </w:pPr>
            <w:r>
              <w:rPr>
                <w:rFonts w:ascii="Liberation Sans" w:hAnsi="Liberation Sans"/>
                <w:b w:val="0"/>
                <w:sz w:val="18"/>
              </w:rPr>
              <w:t>I06;P06</w:t>
            </w:r>
          </w:p>
        </w:tc>
      </w:tr>
      <w:tr>
        <w:trPr>
          <w:cantSplit/>
        </w:trPr>
        <w:tc>
          <w:tcPr>
            <w:tcW w:type="dxa" w:w="2268"/>
          </w:tcPr>
          <w:p>
            <w:pPr>
              <w:spacing w:after="60" w:before="40" w:line="240" w:lineRule="auto"/>
            </w:pPr>
            <w:r>
              <w:rPr>
                <w:rFonts w:ascii="Liberation Sans" w:hAnsi="Liberation Sans"/>
                <w:b w:val="0"/>
                <w:sz w:val="18"/>
              </w:rPr>
              <w:t>RPL 3304 / RPL 3319 → DIP 2 → EG 745</w:t>
            </w:r>
          </w:p>
        </w:tc>
        <w:tc>
          <w:tcPr>
            <w:tcW w:type="dxa" w:w="2721"/>
          </w:tcPr>
          <w:p>
            <w:pPr>
              <w:spacing w:after="60" w:before="40" w:line="240" w:lineRule="auto"/>
            </w:pPr>
            <w:r>
              <w:rPr>
                <w:rFonts w:ascii="Liberation Sans" w:hAnsi="Liberation Sans"/>
                <w:b w:val="0"/>
                <w:sz w:val="18"/>
              </w:rPr>
              <w:t>D4–D6; sucesor 10 SEP</w:t>
            </w:r>
          </w:p>
        </w:tc>
        <w:tc>
          <w:tcPr>
            <w:tcW w:type="dxa" w:w="3969"/>
          </w:tcPr>
          <w:p>
            <w:pPr>
              <w:spacing w:after="60" w:before="40" w:line="240" w:lineRule="auto"/>
            </w:pPr>
            <w:r>
              <w:rPr>
                <w:rFonts w:ascii="Liberation Sans" w:hAnsi="Liberation Sans"/>
                <w:b w:val="0"/>
                <w:sz w:val="18"/>
              </w:rPr>
              <w:t>Prueba de apelación cambia lectura de premisa de firmeza; pide corrección documental</w:t>
            </w:r>
          </w:p>
        </w:tc>
        <w:tc>
          <w:tcPr>
            <w:tcW w:type="dxa" w:w="4195"/>
          </w:tcPr>
          <w:p>
            <w:pPr>
              <w:spacing w:after="60" w:before="40" w:line="240" w:lineRule="auto"/>
            </w:pPr>
            <w:r>
              <w:rPr>
                <w:rFonts w:ascii="Liberation Sans" w:hAnsi="Liberation Sans"/>
                <w:b w:val="0"/>
                <w:sz w:val="18"/>
              </w:rPr>
              <w:t>Recursos de separación AC; no confundir con las causas penales</w:t>
            </w:r>
          </w:p>
        </w:tc>
        <w:tc>
          <w:tcPr>
            <w:tcW w:type="dxa" w:w="1417"/>
          </w:tcPr>
          <w:p>
            <w:pPr>
              <w:spacing w:after="60" w:before="40" w:line="240" w:lineRule="auto"/>
            </w:pPr>
            <w:r>
              <w:rPr>
                <w:rFonts w:ascii="Liberation Sans" w:hAnsi="Liberation Sans"/>
                <w:b w:val="0"/>
                <w:sz w:val="18"/>
              </w:rPr>
              <w:t>I02</w:t>
            </w:r>
          </w:p>
        </w:tc>
      </w:tr>
      <w:tr>
        <w:trPr>
          <w:cantSplit/>
        </w:trPr>
        <w:tc>
          <w:tcPr>
            <w:tcW w:type="dxa" w:w="2268"/>
          </w:tcPr>
          <w:p>
            <w:pPr>
              <w:spacing w:after="60" w:before="40" w:line="240" w:lineRule="auto"/>
            </w:pPr>
            <w:r>
              <w:rPr>
                <w:rFonts w:ascii="Liberation Sans" w:hAnsi="Liberation Sans"/>
                <w:b w:val="0"/>
                <w:sz w:val="18"/>
              </w:rPr>
              <w:t>DP 1901 / DP 1956 ↔ DI 22 / DIP 2</w:t>
            </w:r>
          </w:p>
        </w:tc>
        <w:tc>
          <w:tcPr>
            <w:tcW w:type="dxa" w:w="2721"/>
          </w:tcPr>
          <w:p>
            <w:pPr>
              <w:spacing w:after="60" w:before="40" w:line="240" w:lineRule="auto"/>
            </w:pPr>
            <w:r>
              <w:rPr>
                <w:rFonts w:ascii="Liberation Sans" w:hAnsi="Liberation Sans"/>
                <w:b w:val="0"/>
                <w:sz w:val="18"/>
              </w:rPr>
              <w:t>D2–D3 y registros canónicos</w:t>
            </w:r>
          </w:p>
        </w:tc>
        <w:tc>
          <w:tcPr>
            <w:tcW w:type="dxa" w:w="3969"/>
          </w:tcPr>
          <w:p>
            <w:pPr>
              <w:spacing w:after="60" w:before="40" w:line="240" w:lineRule="auto"/>
            </w:pPr>
            <w:r>
              <w:rPr>
                <w:rFonts w:ascii="Liberation Sans" w:hAnsi="Liberation Sans"/>
                <w:b w:val="0"/>
                <w:sz w:val="18"/>
              </w:rPr>
              <w:t>Debe identificarse núcleo privado/CAM y núcleo penal AC transmitidos, respectivamente</w:t>
            </w:r>
          </w:p>
        </w:tc>
        <w:tc>
          <w:tcPr>
            <w:tcW w:type="dxa" w:w="4195"/>
          </w:tcPr>
          <w:p>
            <w:pPr>
              <w:spacing w:after="60" w:before="40" w:line="240" w:lineRule="auto"/>
            </w:pPr>
            <w:r>
              <w:rPr>
                <w:rFonts w:ascii="Liberation Sans" w:hAnsi="Liberation Sans"/>
                <w:b w:val="0"/>
                <w:sz w:val="18"/>
              </w:rPr>
              <w:t>Estado procesal posterior a julio requiere certificación; no acumulación automática</w:t>
            </w:r>
          </w:p>
        </w:tc>
        <w:tc>
          <w:tcPr>
            <w:tcW w:type="dxa" w:w="1417"/>
          </w:tcPr>
          <w:p>
            <w:pPr>
              <w:spacing w:after="60" w:before="40" w:line="240" w:lineRule="auto"/>
            </w:pPr>
            <w:r>
              <w:rPr>
                <w:rFonts w:ascii="Liberation Sans" w:hAnsi="Liberation Sans"/>
                <w:b w:val="0"/>
                <w:sz w:val="18"/>
              </w:rPr>
              <w:t>I03</w:t>
            </w:r>
          </w:p>
        </w:tc>
      </w:tr>
      <w:tr>
        <w:trPr>
          <w:cantSplit/>
        </w:trPr>
        <w:tc>
          <w:tcPr>
            <w:tcW w:type="dxa" w:w="2268"/>
          </w:tcPr>
          <w:p>
            <w:pPr>
              <w:spacing w:after="60" w:before="40" w:line="240" w:lineRule="auto"/>
            </w:pPr>
            <w:r>
              <w:rPr>
                <w:rFonts w:ascii="Liberation Sans" w:hAnsi="Liberation Sans"/>
                <w:b w:val="0"/>
                <w:sz w:val="18"/>
              </w:rPr>
              <w:t>EG 49 / EG 112 / DI 113 ↔ EG 745</w:t>
            </w:r>
          </w:p>
        </w:tc>
        <w:tc>
          <w:tcPr>
            <w:tcW w:type="dxa" w:w="2721"/>
          </w:tcPr>
          <w:p>
            <w:pPr>
              <w:spacing w:after="60" w:before="40" w:line="240" w:lineRule="auto"/>
            </w:pPr>
            <w:r>
              <w:rPr>
                <w:rFonts w:ascii="Liberation Sans" w:hAnsi="Liberation Sans"/>
                <w:b w:val="0"/>
                <w:sz w:val="18"/>
              </w:rPr>
              <w:t>Identificados en corpus y arquitectura canónica</w:t>
            </w:r>
          </w:p>
        </w:tc>
        <w:tc>
          <w:tcPr>
            <w:tcW w:type="dxa" w:w="3969"/>
          </w:tcPr>
          <w:p>
            <w:pPr>
              <w:spacing w:after="60" w:before="40" w:line="240" w:lineRule="auto"/>
            </w:pPr>
            <w:r>
              <w:rPr>
                <w:rFonts w:ascii="Liberation Sans" w:hAnsi="Liberation Sans"/>
                <w:b w:val="0"/>
                <w:sz w:val="18"/>
              </w:rPr>
              <w:t>Distinguir remisión, archivo, clasificación y examen de fondo para detectar circularidad real</w:t>
            </w:r>
          </w:p>
        </w:tc>
        <w:tc>
          <w:tcPr>
            <w:tcW w:type="dxa" w:w="4195"/>
          </w:tcPr>
          <w:p>
            <w:pPr>
              <w:spacing w:after="60" w:before="40" w:line="240" w:lineRule="auto"/>
            </w:pPr>
            <w:r>
              <w:rPr>
                <w:rFonts w:ascii="Liberation Sans" w:hAnsi="Liberation Sans"/>
                <w:b w:val="0"/>
                <w:sz w:val="18"/>
              </w:rPr>
              <w:t>Copias completas no reobtenidas todas en esta revisión; no inferir su contenido del número</w:t>
            </w:r>
          </w:p>
        </w:tc>
        <w:tc>
          <w:tcPr>
            <w:tcW w:type="dxa" w:w="1417"/>
          </w:tcPr>
          <w:p>
            <w:pPr>
              <w:spacing w:after="60" w:before="40" w:line="240" w:lineRule="auto"/>
            </w:pPr>
            <w:r>
              <w:rPr>
                <w:rFonts w:ascii="Liberation Sans" w:hAnsi="Liberation Sans"/>
                <w:b w:val="0"/>
                <w:sz w:val="18"/>
              </w:rPr>
              <w:t>I03</w:t>
            </w:r>
          </w:p>
        </w:tc>
      </w:tr>
      <w:tr>
        <w:trPr>
          <w:cantSplit/>
        </w:trPr>
        <w:tc>
          <w:tcPr>
            <w:tcW w:type="dxa" w:w="2268"/>
          </w:tcPr>
          <w:p>
            <w:pPr>
              <w:spacing w:after="60" w:before="40" w:line="240" w:lineRule="auto"/>
            </w:pPr>
            <w:r>
              <w:rPr>
                <w:rFonts w:ascii="Liberation Sans" w:hAnsi="Liberation Sans"/>
                <w:b w:val="0"/>
                <w:sz w:val="18"/>
              </w:rPr>
              <w:t>RPL 2523 → revisión institucional</w:t>
            </w:r>
          </w:p>
        </w:tc>
        <w:tc>
          <w:tcPr>
            <w:tcW w:type="dxa" w:w="2721"/>
          </w:tcPr>
          <w:p>
            <w:pPr>
              <w:spacing w:after="60" w:before="40" w:line="240" w:lineRule="auto"/>
            </w:pPr>
            <w:r>
              <w:rPr>
                <w:rFonts w:ascii="Liberation Sans" w:hAnsi="Liberation Sans"/>
                <w:b w:val="0"/>
                <w:sz w:val="18"/>
              </w:rPr>
              <w:t>Calificación 2019/2023; controles del repositorio</w:t>
            </w:r>
          </w:p>
        </w:tc>
        <w:tc>
          <w:tcPr>
            <w:tcW w:type="dxa" w:w="3969"/>
          </w:tcPr>
          <w:p>
            <w:pPr>
              <w:spacing w:after="60" w:before="40" w:line="240" w:lineRule="auto"/>
            </w:pPr>
            <w:r>
              <w:rPr>
                <w:rFonts w:ascii="Liberation Sans" w:hAnsi="Liberation Sans"/>
                <w:b w:val="0"/>
                <w:sz w:val="18"/>
              </w:rPr>
              <w:t>Sentencia y oposición/grabación pueden mostrar tratamiento de prueba y avisos posteriores</w:t>
            </w:r>
          </w:p>
        </w:tc>
        <w:tc>
          <w:tcPr>
            <w:tcW w:type="dxa" w:w="4195"/>
          </w:tcPr>
          <w:p>
            <w:pPr>
              <w:spacing w:after="60" w:before="40" w:line="240" w:lineRule="auto"/>
            </w:pPr>
            <w:r>
              <w:rPr>
                <w:rFonts w:ascii="Liberation Sans" w:hAnsi="Liberation Sans"/>
                <w:b w:val="0"/>
                <w:sz w:val="18"/>
              </w:rPr>
              <w:t>Apelación es alegación; resultado íntegro y firmeza por verificar al usar cada afirmación</w:t>
            </w:r>
          </w:p>
        </w:tc>
        <w:tc>
          <w:tcPr>
            <w:tcW w:type="dxa" w:w="1417"/>
          </w:tcPr>
          <w:p>
            <w:pPr>
              <w:spacing w:after="60" w:before="40" w:line="240" w:lineRule="auto"/>
            </w:pPr>
            <w:r>
              <w:rPr>
                <w:rFonts w:ascii="Liberation Sans" w:hAnsi="Liberation Sans"/>
                <w:b w:val="0"/>
                <w:sz w:val="18"/>
              </w:rPr>
              <w:t>I06</w:t>
            </w:r>
          </w:p>
        </w:tc>
      </w:tr>
      <w:tr>
        <w:trPr>
          <w:cantSplit/>
        </w:trPr>
        <w:tc>
          <w:tcPr>
            <w:tcW w:type="dxa" w:w="2268"/>
          </w:tcPr>
          <w:p>
            <w:pPr>
              <w:spacing w:after="60" w:before="40" w:line="240" w:lineRule="auto"/>
            </w:pPr>
            <w:r>
              <w:rPr>
                <w:rFonts w:ascii="Liberation Sans" w:hAnsi="Liberation Sans"/>
                <w:b w:val="0"/>
                <w:sz w:val="18"/>
              </w:rPr>
              <w:t>CGPJ 169 / Alzada 286 → EG 745</w:t>
            </w:r>
          </w:p>
        </w:tc>
        <w:tc>
          <w:tcPr>
            <w:tcW w:type="dxa" w:w="2721"/>
          </w:tcPr>
          <w:p>
            <w:pPr>
              <w:spacing w:after="60" w:before="40" w:line="240" w:lineRule="auto"/>
            </w:pPr>
            <w:r>
              <w:rPr>
                <w:rFonts w:ascii="Liberation Sans" w:hAnsi="Liberation Sans"/>
                <w:b w:val="0"/>
                <w:sz w:val="18"/>
              </w:rPr>
              <w:t>Controles canónicos de vía judicial</w:t>
            </w:r>
          </w:p>
        </w:tc>
        <w:tc>
          <w:tcPr>
            <w:tcW w:type="dxa" w:w="3969"/>
          </w:tcPr>
          <w:p>
            <w:pPr>
              <w:spacing w:after="60" w:before="40" w:line="240" w:lineRule="auto"/>
            </w:pPr>
            <w:r>
              <w:rPr>
                <w:rFonts w:ascii="Liberation Sans" w:hAnsi="Liberation Sans"/>
                <w:b w:val="0"/>
                <w:sz w:val="18"/>
              </w:rPr>
              <w:t>Aportan rastro de queja judicial y eventual remisión; no control disciplinario fiscal por CGPJ</w:t>
            </w:r>
          </w:p>
        </w:tc>
        <w:tc>
          <w:tcPr>
            <w:tcW w:type="dxa" w:w="4195"/>
          </w:tcPr>
          <w:p>
            <w:pPr>
              <w:spacing w:after="60" w:before="40" w:line="240" w:lineRule="auto"/>
            </w:pPr>
            <w:r>
              <w:rPr>
                <w:rFonts w:ascii="Liberation Sans" w:hAnsi="Liberation Sans"/>
                <w:b w:val="0"/>
                <w:sz w:val="18"/>
              </w:rPr>
              <w:t>Son expedientes distintos y no sustituyen recurso judicial ni fiscal</w:t>
            </w:r>
          </w:p>
        </w:tc>
        <w:tc>
          <w:tcPr>
            <w:tcW w:type="dxa" w:w="1417"/>
          </w:tcPr>
          <w:p>
            <w:pPr>
              <w:spacing w:after="60" w:before="40" w:line="240" w:lineRule="auto"/>
            </w:pPr>
            <w:r>
              <w:rPr>
                <w:rFonts w:ascii="Liberation Sans" w:hAnsi="Liberation Sans"/>
                <w:b w:val="0"/>
                <w:sz w:val="18"/>
              </w:rPr>
              <w:t>I03 si consta remisión</w:t>
            </w:r>
          </w:p>
        </w:tc>
      </w:tr>
      <w:tr>
        <w:trPr>
          <w:cantSplit/>
        </w:trPr>
        <w:tc>
          <w:tcPr>
            <w:tcW w:type="dxa" w:w="2268"/>
          </w:tcPr>
          <w:p>
            <w:pPr>
              <w:spacing w:after="60" w:before="40" w:line="240" w:lineRule="auto"/>
            </w:pPr>
            <w:r>
              <w:rPr>
                <w:rFonts w:ascii="Liberation Sans" w:hAnsi="Liberation Sans"/>
                <w:b w:val="0"/>
                <w:sz w:val="18"/>
              </w:rPr>
              <w:t>PO 641/2024 / RPL 421/2026</w:t>
            </w:r>
          </w:p>
        </w:tc>
        <w:tc>
          <w:tcPr>
            <w:tcW w:type="dxa" w:w="2721"/>
          </w:tcPr>
          <w:p>
            <w:pPr>
              <w:spacing w:after="60" w:before="40" w:line="240" w:lineRule="auto"/>
            </w:pPr>
            <w:r>
              <w:rPr>
                <w:rFonts w:ascii="Liberation Sans" w:hAnsi="Liberation Sans"/>
                <w:b w:val="0"/>
                <w:sz w:val="18"/>
              </w:rPr>
              <w:t>Vía civil de honorarios/seguro/legitimación</w:t>
            </w:r>
          </w:p>
        </w:tc>
        <w:tc>
          <w:tcPr>
            <w:tcW w:type="dxa" w:w="3969"/>
          </w:tcPr>
          <w:p>
            <w:pPr>
              <w:spacing w:after="60" w:before="40" w:line="240" w:lineRule="auto"/>
            </w:pPr>
            <w:r>
              <w:rPr>
                <w:rFonts w:ascii="Liberation Sans" w:hAnsi="Liberation Sans"/>
                <w:b w:val="0"/>
                <w:sz w:val="18"/>
              </w:rPr>
              <w:t>Solo pertinente si documento concreto acredita facultad, percepción o declaración contradictoria</w:t>
            </w:r>
          </w:p>
        </w:tc>
        <w:tc>
          <w:tcPr>
            <w:tcW w:type="dxa" w:w="4195"/>
          </w:tcPr>
          <w:p>
            <w:pPr>
              <w:spacing w:after="60" w:before="40" w:line="240" w:lineRule="auto"/>
            </w:pPr>
            <w:r>
              <w:rPr>
                <w:rFonts w:ascii="Liberation Sans" w:hAnsi="Liberation Sans"/>
                <w:b w:val="0"/>
                <w:sz w:val="18"/>
              </w:rPr>
              <w:t>No acredita delito ni convierte DP 1956 en asunto de honorarios</w:t>
            </w:r>
          </w:p>
        </w:tc>
        <w:tc>
          <w:tcPr>
            <w:tcW w:type="dxa" w:w="1417"/>
          </w:tcPr>
          <w:p>
            <w:pPr>
              <w:spacing w:after="60" w:before="40" w:line="240" w:lineRule="auto"/>
            </w:pPr>
            <w:r>
              <w:rPr>
                <w:rFonts w:ascii="Liberation Sans" w:hAnsi="Liberation Sans"/>
                <w:b w:val="0"/>
                <w:sz w:val="18"/>
              </w:rPr>
              <w:t>P05 solo con documento identificado</w:t>
            </w:r>
          </w:p>
        </w:tc>
      </w:tr>
      <w:tr>
        <w:trPr>
          <w:cantSplit/>
        </w:trPr>
        <w:tc>
          <w:tcPr>
            <w:tcW w:type="dxa" w:w="2268"/>
          </w:tcPr>
          <w:p>
            <w:pPr>
              <w:spacing w:after="60" w:before="40" w:line="240" w:lineRule="auto"/>
            </w:pPr>
            <w:r>
              <w:rPr>
                <w:rFonts w:ascii="Liberation Sans" w:hAnsi="Liberation Sans"/>
                <w:b w:val="0"/>
                <w:sz w:val="18"/>
              </w:rPr>
              <w:t>AEAT / CNMV / Cabildo / Yaiza → núcleo patrimonial</w:t>
            </w:r>
          </w:p>
        </w:tc>
        <w:tc>
          <w:tcPr>
            <w:tcW w:type="dxa" w:w="2721"/>
          </w:tcPr>
          <w:p>
            <w:pPr>
              <w:spacing w:after="60" w:before="40" w:line="240" w:lineRule="auto"/>
            </w:pPr>
            <w:r>
              <w:rPr>
                <w:rFonts w:ascii="Liberation Sans" w:hAnsi="Liberation Sans"/>
                <w:b w:val="0"/>
                <w:sz w:val="18"/>
              </w:rPr>
              <w:t>D3 e inventarios fuente existentes</w:t>
            </w:r>
          </w:p>
        </w:tc>
        <w:tc>
          <w:tcPr>
            <w:tcW w:type="dxa" w:w="3969"/>
          </w:tcPr>
          <w:p>
            <w:pPr>
              <w:spacing w:after="60" w:before="40" w:line="240" w:lineRule="auto"/>
            </w:pPr>
            <w:r>
              <w:rPr>
                <w:rFonts w:ascii="Liberation Sans" w:hAnsi="Liberation Sans"/>
                <w:b w:val="0"/>
                <w:sz w:val="18"/>
              </w:rPr>
              <w:t>Una declaración de dominio, plano o condición de ayuda puede conectar activo, uso y beneficio</w:t>
            </w:r>
          </w:p>
        </w:tc>
        <w:tc>
          <w:tcPr>
            <w:tcW w:type="dxa" w:w="4195"/>
          </w:tcPr>
          <w:p>
            <w:pPr>
              <w:spacing w:after="60" w:before="40" w:line="240" w:lineRule="auto"/>
            </w:pPr>
            <w:r>
              <w:rPr>
                <w:rFonts w:ascii="Liberation Sans" w:hAnsi="Liberation Sans"/>
                <w:b w:val="0"/>
                <w:sz w:val="18"/>
              </w:rPr>
              <w:t>Registro/noticia pública no demuestra aval institucional ni recepción por un fiscal determinado</w:t>
            </w:r>
          </w:p>
        </w:tc>
        <w:tc>
          <w:tcPr>
            <w:tcW w:type="dxa" w:w="1417"/>
          </w:tcPr>
          <w:p>
            <w:pPr>
              <w:spacing w:after="60" w:before="40" w:line="240" w:lineRule="auto"/>
            </w:pPr>
            <w:r>
              <w:rPr>
                <w:rFonts w:ascii="Liberation Sans" w:hAnsi="Liberation Sans"/>
                <w:b w:val="0"/>
                <w:sz w:val="18"/>
              </w:rPr>
              <w:t>P07</w:t>
            </w:r>
          </w:p>
        </w:tc>
      </w:tr>
    </w:tbl>
    <w:p/>
    <w:p>
      <w:pPr>
        <w:pStyle w:val="Heading1"/>
        <w:pageBreakBefore/>
      </w:pPr>
      <w:r>
        <w:t>5 Comprobaciones y diligencias propuestas</w:t>
      </w:r>
    </w:p>
    <w:p>
      <w:r>
        <w:t>I01–I06 son solicitudes de comprobación inspectora o de obtención documental por el cauce competente. P01–P08 se proponen para valoración por el órgano penal o patrimonial competente, una vez comprobados identidad de hechos, novedad, pertinencia y prescripción. L01 debe preceder a medidas intrusivas. Cada respuesta debe indicar documento obtenido o inexistencia certificada, resultado de contraste y decisión sobre la fase siguiente.</w:t>
      </w:r>
    </w:p>
    <w:p>
      <w:pPr>
        <w:pStyle w:val="Heading2"/>
      </w:pPr>
      <w:r>
        <w:t>I01 Inspección / registros FGE</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D2–D3, entrada 3 AGO, mensajes 20–21 AGO; índice y originales/adjuntos</w:t>
            </w:r>
          </w:p>
        </w:tc>
        <w:tc>
          <w:tcPr>
            <w:tcW w:type="dxa" w:w="4762"/>
          </w:tcPr>
          <w:p>
            <w:pPr>
              <w:spacing w:after="60" w:before="40" w:line="240" w:lineRule="auto"/>
            </w:pPr>
            <w:r>
              <w:rPr>
                <w:rFonts w:ascii="Liberation Sans" w:hAnsi="Liberation Sans"/>
                <w:b w:val="0"/>
                <w:sz w:val="19"/>
              </w:rPr>
              <w:t>Certificar correspondencia de versiones, reparto, incorporaciones y corpus previo 26 AGO; acuses/huellas si existen</w:t>
            </w:r>
          </w:p>
        </w:tc>
        <w:tc>
          <w:tcPr>
            <w:tcW w:type="dxa" w:w="3231"/>
          </w:tcPr>
          <w:p>
            <w:pPr>
              <w:spacing w:after="60" w:before="40" w:line="240" w:lineRule="auto"/>
            </w:pPr>
            <w:r>
              <w:rPr>
                <w:rFonts w:ascii="Liberation Sans" w:hAnsi="Liberation Sans"/>
                <w:b w:val="0"/>
                <w:sz w:val="19"/>
              </w:rPr>
              <w:t>Distingue examen íntegro de omisión material o mera transmisión al día hábil siguiente</w:t>
            </w:r>
          </w:p>
        </w:tc>
        <w:tc>
          <w:tcPr>
            <w:tcW w:type="dxa" w:w="3061"/>
          </w:tcPr>
          <w:p>
            <w:pPr>
              <w:spacing w:after="60" w:before="40" w:line="240" w:lineRule="auto"/>
            </w:pPr>
            <w:r>
              <w:rPr>
                <w:rFonts w:ascii="Liberation Sans" w:hAnsi="Liberation Sans"/>
                <w:b w:val="0"/>
                <w:sz w:val="19"/>
              </w:rPr>
              <w:t>Alta; actuación documental interna. Acceso al interesado solo en extensión legal.</w:t>
              <w:br/>
              <w:t>Proposiciones: M01;M10</w:t>
            </w:r>
          </w:p>
        </w:tc>
      </w:tr>
    </w:tbl>
    <w:p/>
    <w:p>
      <w:pPr>
        <w:pStyle w:val="Heading2"/>
      </w:pPr>
      <w:r>
        <w:t>I02 Inspección con Fiscalía CAC y oficina judicial</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Consulta ATLANTE02 MAR; Auto 11NOV2025; escritos, recibos y trámites de apelación; D5</w:t>
            </w:r>
          </w:p>
        </w:tc>
        <w:tc>
          <w:tcPr>
            <w:tcW w:type="dxa" w:w="4762"/>
          </w:tcPr>
          <w:p>
            <w:pPr>
              <w:spacing w:after="60" w:before="40" w:line="240" w:lineRule="auto"/>
            </w:pPr>
            <w:r>
              <w:rPr>
                <w:rFonts w:ascii="Liberation Sans" w:hAnsi="Liberation Sans"/>
                <w:b w:val="0"/>
                <w:sz w:val="19"/>
              </w:rPr>
              <w:t>Precisar fecha/ámbito de consulta, expediente consultado, fechas de presentación y tratamiento del aviso 11 MAR</w:t>
            </w:r>
          </w:p>
        </w:tc>
        <w:tc>
          <w:tcPr>
            <w:tcW w:type="dxa" w:w="3231"/>
          </w:tcPr>
          <w:p>
            <w:pPr>
              <w:spacing w:after="60" w:before="40" w:line="240" w:lineRule="auto"/>
            </w:pPr>
            <w:r>
              <w:rPr>
                <w:rFonts w:ascii="Liberation Sans" w:hAnsi="Liberation Sans"/>
                <w:b w:val="0"/>
                <w:sz w:val="19"/>
              </w:rPr>
              <w:t>Distingue error, retraso de indexación, consulta incompleta o posterior conocimiento no atendido</w:t>
            </w:r>
          </w:p>
        </w:tc>
        <w:tc>
          <w:tcPr>
            <w:tcW w:type="dxa" w:w="3061"/>
          </w:tcPr>
          <w:p>
            <w:pPr>
              <w:spacing w:after="60" w:before="40" w:line="240" w:lineRule="auto"/>
            </w:pPr>
            <w:r>
              <w:rPr>
                <w:rFonts w:ascii="Liberation Sans" w:hAnsi="Liberation Sans"/>
                <w:b w:val="0"/>
                <w:sz w:val="19"/>
              </w:rPr>
              <w:t>Alta; documentos delimitados, no auditoría indiscriminada del sistema.</w:t>
              <w:br/>
              <w:t>Proposiciones: M02</w:t>
            </w:r>
          </w:p>
        </w:tc>
      </w:tr>
    </w:tbl>
    <w:p/>
    <w:p>
      <w:pPr>
        <w:pStyle w:val="Heading2"/>
      </w:pPr>
      <w:r>
        <w:t>I03 Inspección / fiscalías emisoras y receptoras</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DI 248,DI 113,DI 22,DIP 2,EG 49,EG 112; DP 1901/DP 1956 en lo pertinente</w:t>
            </w:r>
          </w:p>
        </w:tc>
        <w:tc>
          <w:tcPr>
            <w:tcW w:type="dxa" w:w="4762"/>
          </w:tcPr>
          <w:p>
            <w:pPr>
              <w:spacing w:after="60" w:before="40" w:line="240" w:lineRule="auto"/>
            </w:pPr>
            <w:r>
              <w:rPr>
                <w:rFonts w:ascii="Liberation Sans" w:hAnsi="Liberation Sans"/>
                <w:b w:val="0"/>
                <w:sz w:val="19"/>
              </w:rPr>
              <w:t>Tabla de cada remisión con objeto, personas, activos, períodos, documentos, destino, acuse y resolución de recepción</w:t>
            </w:r>
          </w:p>
        </w:tc>
        <w:tc>
          <w:tcPr>
            <w:tcW w:type="dxa" w:w="3231"/>
          </w:tcPr>
          <w:p>
            <w:pPr>
              <w:spacing w:after="60" w:before="40" w:line="240" w:lineRule="auto"/>
            </w:pPr>
            <w:r>
              <w:rPr>
                <w:rFonts w:ascii="Liberation Sans" w:hAnsi="Liberation Sans"/>
                <w:b w:val="0"/>
                <w:sz w:val="19"/>
              </w:rPr>
              <w:t>Distingue rechazo sustantivo, reiteración, remisión efectiva y núcleo no remitido</w:t>
            </w:r>
          </w:p>
        </w:tc>
        <w:tc>
          <w:tcPr>
            <w:tcW w:type="dxa" w:w="3061"/>
          </w:tcPr>
          <w:p>
            <w:pPr>
              <w:spacing w:after="60" w:before="40" w:line="240" w:lineRule="auto"/>
            </w:pPr>
            <w:r>
              <w:rPr>
                <w:rFonts w:ascii="Liberation Sans" w:hAnsi="Liberation Sans"/>
                <w:b w:val="0"/>
                <w:sz w:val="19"/>
              </w:rPr>
              <w:t>Alta; no iniciar investigación fiscal paralela sobre los mismos hechos judicializados.</w:t>
              <w:br/>
              <w:t>Proposiciones: M03;M10</w:t>
            </w:r>
          </w:p>
        </w:tc>
      </w:tr>
    </w:tbl>
    <w:p/>
    <w:p>
      <w:pPr>
        <w:pStyle w:val="Heading2"/>
      </w:pPr>
      <w:r>
        <w:t>I04 Inspección / Fiscalía Provincial / sección sexta C36</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Informe 12MAR2019; informe AC de calificación; escritos 2018/2019 y anexos; consulta ATLANTE previa 07 MAY</w:t>
            </w:r>
          </w:p>
        </w:tc>
        <w:tc>
          <w:tcPr>
            <w:tcW w:type="dxa" w:w="4762"/>
          </w:tcPr>
          <w:p>
            <w:pPr>
              <w:spacing w:after="60" w:before="40" w:line="240" w:lineRule="auto"/>
            </w:pPr>
            <w:r>
              <w:rPr>
                <w:rFonts w:ascii="Liberation Sans" w:hAnsi="Liberation Sans"/>
                <w:b w:val="0"/>
                <w:sz w:val="19"/>
              </w:rPr>
              <w:t>Identificar versión del informe incorporado por este Ministerio, fecha de disponibilidad y pasajes utilizados; cotejar registros de ampliaciones</w:t>
            </w:r>
          </w:p>
        </w:tc>
        <w:tc>
          <w:tcPr>
            <w:tcW w:type="dxa" w:w="3231"/>
          </w:tcPr>
          <w:p>
            <w:pPr>
              <w:spacing w:after="60" w:before="40" w:line="240" w:lineRule="auto"/>
            </w:pPr>
            <w:r>
              <w:rPr>
                <w:rFonts w:ascii="Liberation Sans" w:hAnsi="Liberation Sans"/>
                <w:b w:val="0"/>
                <w:sz w:val="19"/>
              </w:rPr>
              <w:t>Distingue contexto legítimo de sustitución del examen por previa posición acusatoria; no exige confesión de lectura</w:t>
            </w:r>
          </w:p>
        </w:tc>
        <w:tc>
          <w:tcPr>
            <w:tcW w:type="dxa" w:w="3061"/>
          </w:tcPr>
          <w:p>
            <w:pPr>
              <w:spacing w:after="60" w:before="40" w:line="240" w:lineRule="auto"/>
            </w:pPr>
            <w:r>
              <w:rPr>
                <w:rFonts w:ascii="Liberation Sans" w:hAnsi="Liberation Sans"/>
                <w:b w:val="0"/>
                <w:sz w:val="19"/>
              </w:rPr>
              <w:t>Alta; conservar razones autónomas del archivo y explicación de la fiscal autora.</w:t>
              <w:br/>
              <w:t>Proposiciones: M06</w:t>
            </w:r>
          </w:p>
        </w:tc>
      </w:tr>
    </w:tbl>
    <w:p/>
    <w:p>
      <w:pPr>
        <w:pStyle w:val="Heading2"/>
      </w:pPr>
      <w:r>
        <w:t>I05 Inspección en examen documental / custodios concursales</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Documento de dación o asignación al que se refería D10, disponible antes 07MAY2019</w:t>
            </w:r>
          </w:p>
        </w:tc>
        <w:tc>
          <w:tcPr>
            <w:tcW w:type="dxa" w:w="4762"/>
          </w:tcPr>
          <w:p>
            <w:pPr>
              <w:spacing w:after="60" w:before="40" w:line="240" w:lineRule="auto"/>
            </w:pPr>
            <w:r>
              <w:rPr>
                <w:rFonts w:ascii="Liberation Sans" w:hAnsi="Liberation Sans"/>
                <w:b w:val="0"/>
                <w:sz w:val="19"/>
              </w:rPr>
              <w:t>Identificar título, fecha, fincas, condiciones, efectos y expediente; confrontar con conducta desde 07JUN2018 y D16</w:t>
            </w:r>
          </w:p>
        </w:tc>
        <w:tc>
          <w:tcPr>
            <w:tcW w:type="dxa" w:w="3231"/>
          </w:tcPr>
          <w:p>
            <w:pPr>
              <w:spacing w:after="60" w:before="40" w:line="240" w:lineRule="auto"/>
            </w:pPr>
            <w:r>
              <w:rPr>
                <w:rFonts w:ascii="Liberation Sans" w:hAnsi="Liberation Sans"/>
                <w:b w:val="0"/>
                <w:sz w:val="19"/>
              </w:rPr>
              <w:t>Distingue adquisición anterior, autorización pendiente y adjudicación posterior; no usar 2022 como causa de 2018</w:t>
            </w:r>
          </w:p>
        </w:tc>
        <w:tc>
          <w:tcPr>
            <w:tcW w:type="dxa" w:w="3061"/>
          </w:tcPr>
          <w:p>
            <w:pPr>
              <w:spacing w:after="60" w:before="40" w:line="240" w:lineRule="auto"/>
            </w:pPr>
            <w:r>
              <w:rPr>
                <w:rFonts w:ascii="Liberation Sans" w:hAnsi="Liberation Sans"/>
                <w:b w:val="0"/>
                <w:sz w:val="19"/>
              </w:rPr>
              <w:t>Alta; posterior producción externa por órgano con competencia, sin resolver dominio en EG 745.</w:t>
              <w:br/>
              <w:t>Proposiciones: M04</w:t>
            </w:r>
          </w:p>
        </w:tc>
      </w:tr>
    </w:tbl>
    <w:p/>
    <w:p>
      <w:pPr>
        <w:pStyle w:val="Heading2"/>
      </w:pPr>
      <w:r>
        <w:t>I06 Inspección / Ministerio Fiscal y oficina judicial competente</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Traslados de calificación 2021; acta y grabación vista 25JUL2023; escritos de oposición y noticia posterior; informes 2026</w:t>
            </w:r>
          </w:p>
        </w:tc>
        <w:tc>
          <w:tcPr>
            <w:tcW w:type="dxa" w:w="4762"/>
          </w:tcPr>
          <w:p>
            <w:pPr>
              <w:spacing w:after="60" w:before="40" w:line="240" w:lineRule="auto"/>
            </w:pPr>
            <w:r>
              <w:rPr>
                <w:rFonts w:ascii="Liberation Sans" w:hAnsi="Liberation Sans"/>
                <w:b w:val="0"/>
                <w:sz w:val="19"/>
              </w:rPr>
              <w:t>Identificar fiscal actuante en 2023 y manifestaciones por minuto; cotejar asignación, incidencias de acceso y prueba recibida; respuesta a documentación contraria</w:t>
            </w:r>
          </w:p>
        </w:tc>
        <w:tc>
          <w:tcPr>
            <w:tcW w:type="dxa" w:w="3231"/>
          </w:tcPr>
          <w:p>
            <w:pPr>
              <w:spacing w:after="60" w:before="40" w:line="240" w:lineRule="auto"/>
            </w:pPr>
            <w:r>
              <w:rPr>
                <w:rFonts w:ascii="Liberation Sans" w:hAnsi="Liberation Sans"/>
                <w:b w:val="0"/>
                <w:sz w:val="19"/>
              </w:rPr>
              <w:t>Distingue conocimiento individual, información no trasladada y utilización consciente; Ricardo no se identifica solo por relato posterior</w:t>
            </w:r>
          </w:p>
        </w:tc>
        <w:tc>
          <w:tcPr>
            <w:tcW w:type="dxa" w:w="3061"/>
          </w:tcPr>
          <w:p>
            <w:pPr>
              <w:spacing w:after="60" w:before="40" w:line="240" w:lineRule="auto"/>
            </w:pPr>
            <w:r>
              <w:rPr>
                <w:rFonts w:ascii="Liberation Sans" w:hAnsi="Liberation Sans"/>
                <w:b w:val="0"/>
                <w:sz w:val="19"/>
              </w:rPr>
              <w:t>Alta para preservación; examen por partes concretas del material y según competencia/reserva.</w:t>
              <w:br/>
              <w:t>Proposiciones: M06;M08;M10</w:t>
            </w:r>
          </w:p>
        </w:tc>
      </w:tr>
    </w:tbl>
    <w:p/>
    <w:p>
      <w:pPr>
        <w:pStyle w:val="Heading2"/>
      </w:pPr>
      <w:r>
        <w:t>P01 Órgano penal competente / Registro Tías y custodios de títulos</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Certificaciones históricas de cada finca al 07JUN2018; préstamo 1280/2008 y novaciones 3830/2008,34/2009,1378/2010; segundo préstamo; cesión 2248/2017; textos definitivos</w:t>
            </w:r>
          </w:p>
        </w:tc>
        <w:tc>
          <w:tcPr>
            <w:tcW w:type="dxa" w:w="4762"/>
          </w:tcPr>
          <w:p>
            <w:pPr>
              <w:spacing w:after="60" w:before="40" w:line="240" w:lineRule="auto"/>
            </w:pPr>
            <w:r>
              <w:rPr>
                <w:rFonts w:ascii="Liberation Sans" w:hAnsi="Liberation Sans"/>
                <w:b w:val="0"/>
                <w:sz w:val="19"/>
              </w:rPr>
              <w:t>Matriz título, cuota, garantía por conceptos, acreedor, tercero hipotecante, cargas/ob rem y fecha/efecto de cada transmisión; inventario LPB/Matkator/terceros</w:t>
            </w:r>
          </w:p>
        </w:tc>
        <w:tc>
          <w:tcPr>
            <w:tcW w:type="dxa" w:w="3231"/>
          </w:tcPr>
          <w:p>
            <w:pPr>
              <w:spacing w:after="60" w:before="40" w:line="240" w:lineRule="auto"/>
            </w:pPr>
            <w:r>
              <w:rPr>
                <w:rFonts w:ascii="Liberation Sans" w:hAnsi="Liberation Sans"/>
                <w:b w:val="0"/>
                <w:sz w:val="19"/>
              </w:rPr>
              <w:t>Distingue masa y propiedad ajena, CAM propietario previo y CAM acreedor; precisa qué era exactamente la garantía</w:t>
            </w:r>
          </w:p>
        </w:tc>
        <w:tc>
          <w:tcPr>
            <w:tcW w:type="dxa" w:w="3061"/>
          </w:tcPr>
          <w:p>
            <w:pPr>
              <w:spacing w:after="60" w:before="40" w:line="240" w:lineRule="auto"/>
            </w:pPr>
            <w:r>
              <w:rPr>
                <w:rFonts w:ascii="Liberation Sans" w:hAnsi="Liberation Sans"/>
                <w:b w:val="0"/>
                <w:sz w:val="19"/>
              </w:rPr>
              <w:t>Antes de nuevas medidas personales. Comenzar por fincas identificadas y ampliar solo con nexo documentado.</w:t>
              <w:br/>
              <w:t>Proposiciones: M04;M09</w:t>
            </w:r>
          </w:p>
        </w:tc>
      </w:tr>
    </w:tbl>
    <w:p/>
    <w:p>
      <w:pPr>
        <w:pStyle w:val="Heading2"/>
      </w:pPr>
      <w:r>
        <w:t>P02 Órgano penal competente / AC, Comunidad, seguridad, cerrajero</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Correo 27FEB2018; actas 18 MAY y 05 JUL; permisos referidos en D16 pp.7,10; contratos, facturas, partes y entrega de llaves</w:t>
            </w:r>
          </w:p>
        </w:tc>
        <w:tc>
          <w:tcPr>
            <w:tcW w:type="dxa" w:w="4762"/>
          </w:tcPr>
          <w:p>
            <w:pPr>
              <w:spacing w:after="60" w:before="40" w:line="240" w:lineRule="auto"/>
            </w:pPr>
            <w:r>
              <w:rPr>
                <w:rFonts w:ascii="Liberation Sans" w:hAnsi="Liberation Sans"/>
                <w:b w:val="0"/>
                <w:sz w:val="19"/>
              </w:rPr>
              <w:t>Identificar emisor, destinatario, fecha, finca y finalidad de cada instrucción/acto; preservar audios nativos y versiones; contrastar D15</w:t>
            </w:r>
          </w:p>
        </w:tc>
        <w:tc>
          <w:tcPr>
            <w:tcW w:type="dxa" w:w="3231"/>
          </w:tcPr>
          <w:p>
            <w:pPr>
              <w:spacing w:after="60" w:before="40" w:line="240" w:lineRule="auto"/>
            </w:pPr>
            <w:r>
              <w:rPr>
                <w:rFonts w:ascii="Liberation Sans" w:hAnsi="Liberation Sans"/>
                <w:b w:val="0"/>
                <w:sz w:val="19"/>
              </w:rPr>
              <w:t>Distingue mantenimiento autorizado, control comunitario regular y posible exceso sobre bien ajeno</w:t>
            </w:r>
          </w:p>
        </w:tc>
        <w:tc>
          <w:tcPr>
            <w:tcW w:type="dxa" w:w="3061"/>
          </w:tcPr>
          <w:p>
            <w:pPr>
              <w:spacing w:after="60" w:before="40" w:line="240" w:lineRule="auto"/>
            </w:pPr>
            <w:r>
              <w:rPr>
                <w:rFonts w:ascii="Liberation Sans" w:hAnsi="Liberation Sans"/>
                <w:b w:val="0"/>
                <w:sz w:val="19"/>
              </w:rPr>
              <w:t>Foco 07 JUN–31JUL2018; requerir conservación y certificar inexistencias según plazos aplicados.</w:t>
              <w:br/>
              <w:t>Proposiciones: M04;M05</w:t>
            </w:r>
          </w:p>
        </w:tc>
      </w:tr>
    </w:tbl>
    <w:p/>
    <w:p>
      <w:pPr>
        <w:pStyle w:val="Heading2"/>
      </w:pPr>
      <w:r>
        <w:t>P03 Órgano penal competente / empresa de agua y gestor de reservas</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Declaración obrante al folio 1394 citada en D15; partes de servicio/avería; contrato/contador; reclamaciones concretas de huéspedes</w:t>
            </w:r>
          </w:p>
        </w:tc>
        <w:tc>
          <w:tcPr>
            <w:tcW w:type="dxa" w:w="4762"/>
          </w:tcPr>
          <w:p>
            <w:pPr>
              <w:spacing w:after="60" w:before="40" w:line="240" w:lineRule="auto"/>
            </w:pPr>
            <w:r>
              <w:rPr>
                <w:rFonts w:ascii="Liberation Sans" w:hAnsi="Liberation Sans"/>
                <w:b w:val="0"/>
                <w:sz w:val="19"/>
              </w:rPr>
              <w:t>Tabla día/hora/punto de suministro y restricción; cotejar reserva, negativa de acceso, cancelación y reembolso por cliente</w:t>
            </w:r>
          </w:p>
        </w:tc>
        <w:tc>
          <w:tcPr>
            <w:tcW w:type="dxa" w:w="3231"/>
          </w:tcPr>
          <w:p>
            <w:pPr>
              <w:spacing w:after="60" w:before="40" w:line="240" w:lineRule="auto"/>
            </w:pPr>
            <w:r>
              <w:rPr>
                <w:rFonts w:ascii="Liberation Sans" w:hAnsi="Liberation Sans"/>
                <w:b w:val="0"/>
                <w:sz w:val="19"/>
              </w:rPr>
              <w:t>Distingue suministro normal, corte puntual o interno y pérdida de clientela por otras causas</w:t>
            </w:r>
          </w:p>
        </w:tc>
        <w:tc>
          <w:tcPr>
            <w:tcW w:type="dxa" w:w="3061"/>
          </w:tcPr>
          <w:p>
            <w:pPr>
              <w:spacing w:after="60" w:before="40" w:line="240" w:lineRule="auto"/>
            </w:pPr>
            <w:r>
              <w:rPr>
                <w:rFonts w:ascii="Liberation Sans" w:hAnsi="Liberation Sans"/>
                <w:b w:val="0"/>
                <w:sz w:val="19"/>
              </w:rPr>
              <w:t>Evitar solicitar todos los datos personales de huéspedes; muestra de episodios identificados y minimización.</w:t>
              <w:br/>
              <w:t>Proposiciones: M05</w:t>
            </w:r>
          </w:p>
        </w:tc>
      </w:tr>
    </w:tbl>
    <w:p/>
    <w:p>
      <w:pPr>
        <w:pStyle w:val="Heading2"/>
      </w:pPr>
      <w:r>
        <w:t>P04 Órgano penal competente / perito y propietarios</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Inventarios, fotos/vídeos originales con metadatos; facturas de activos; obras y licencias; inspecciones antes/después</w:t>
            </w:r>
          </w:p>
        </w:tc>
        <w:tc>
          <w:tcPr>
            <w:tcW w:type="dxa" w:w="4762"/>
          </w:tcPr>
          <w:p>
            <w:pPr>
              <w:spacing w:after="60" w:before="40" w:line="240" w:lineRule="auto"/>
            </w:pPr>
            <w:r>
              <w:rPr>
                <w:rFonts w:ascii="Liberation Sans" w:hAnsi="Liberation Sans"/>
                <w:b w:val="0"/>
                <w:sz w:val="19"/>
              </w:rPr>
              <w:t>Identificar objeto, dueño, estado previo, cambio, ejecutor, fecha, coste y reparación; separar instalaciones LPB, Matkator y terceros</w:t>
            </w:r>
          </w:p>
        </w:tc>
        <w:tc>
          <w:tcPr>
            <w:tcW w:type="dxa" w:w="3231"/>
          </w:tcPr>
          <w:p>
            <w:pPr>
              <w:spacing w:after="60" w:before="40" w:line="240" w:lineRule="auto"/>
            </w:pPr>
            <w:r>
              <w:rPr>
                <w:rFonts w:ascii="Liberation Sans" w:hAnsi="Liberation Sans"/>
                <w:b w:val="0"/>
                <w:sz w:val="19"/>
              </w:rPr>
              <w:t>Distingue daño imputable de deterioro previo, conservación, obra autorizada y mera discrepancia estética</w:t>
            </w:r>
          </w:p>
        </w:tc>
        <w:tc>
          <w:tcPr>
            <w:tcW w:type="dxa" w:w="3061"/>
          </w:tcPr>
          <w:p>
            <w:pPr>
              <w:spacing w:after="60" w:before="40" w:line="240" w:lineRule="auto"/>
            </w:pPr>
            <w:r>
              <w:rPr>
                <w:rFonts w:ascii="Liberation Sans" w:hAnsi="Liberation Sans"/>
                <w:b w:val="0"/>
                <w:sz w:val="19"/>
              </w:rPr>
              <w:t>Pericial solo tras documentación suficiente; no valorar pérdida sobre títulos de fotos ni duplicar fotogramas.</w:t>
              <w:br/>
              <w:t>Proposiciones: M05;M08</w:t>
            </w:r>
          </w:p>
        </w:tc>
      </w:tr>
    </w:tbl>
    <w:p/>
    <w:p>
      <w:pPr>
        <w:pStyle w:val="Heading2"/>
      </w:pPr>
      <w:r>
        <w:t>P05 Órgano competente / juzgado concursal, notaría, Registro y cuentas de la masa</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Protocolo 2150, calificación registral 09ENE2019, escrito 1760/2019, Auto 24 OCT; actos 2021/2022; comunicación de cierre y mandamientos</w:t>
            </w:r>
          </w:p>
        </w:tc>
        <w:tc>
          <w:tcPr>
            <w:tcW w:type="dxa" w:w="4762"/>
          </w:tcPr>
          <w:p>
            <w:pPr>
              <w:spacing w:after="60" w:before="40" w:line="240" w:lineRule="auto"/>
            </w:pPr>
            <w:r>
              <w:rPr>
                <w:rFonts w:ascii="Liberation Sans" w:hAnsi="Liberation Sans"/>
                <w:b w:val="0"/>
                <w:sz w:val="19"/>
              </w:rPr>
              <w:t>Conciliar 31 fincas, cheque 400.000, ingreso real, asiento contable, destino, eventual devolución/crédito y título final; fecha de comunicación de cierre del 457</w:t>
            </w:r>
          </w:p>
        </w:tc>
        <w:tc>
          <w:tcPr>
            <w:tcW w:type="dxa" w:w="3231"/>
          </w:tcPr>
          <w:p>
            <w:pPr>
              <w:spacing w:after="60" w:before="40" w:line="240" w:lineRule="auto"/>
            </w:pPr>
            <w:r>
              <w:rPr>
                <w:rFonts w:ascii="Liberation Sans" w:hAnsi="Liberation Sans"/>
                <w:b w:val="0"/>
                <w:sz w:val="19"/>
              </w:rPr>
              <w:t>Distingue regularización expresa, aplicación lícita del precio, omisión de ejecución o doble cómputo; ninguno se presume</w:t>
            </w:r>
          </w:p>
        </w:tc>
        <w:tc>
          <w:tcPr>
            <w:tcW w:type="dxa" w:w="3061"/>
          </w:tcPr>
          <w:p>
            <w:pPr>
              <w:spacing w:after="60" w:before="40" w:line="240" w:lineRule="auto"/>
            </w:pPr>
            <w:r>
              <w:rPr>
                <w:rFonts w:ascii="Liberation Sans" w:hAnsi="Liberation Sans"/>
                <w:b w:val="0"/>
                <w:sz w:val="19"/>
              </w:rPr>
              <w:t>Bancos limitados a operación/cuenta/ventana necesaria. La obligación de 457 corre desde comunicación del cierre, no automáticamente desde 21 FEB.</w:t>
              <w:br/>
              <w:t>Proposiciones: M07;M09</w:t>
            </w:r>
          </w:p>
        </w:tc>
      </w:tr>
    </w:tbl>
    <w:p/>
    <w:p>
      <w:pPr>
        <w:pStyle w:val="Heading2"/>
      </w:pPr>
      <w:r>
        <w:t>P06 Órgano competente / operador, financiador, abogados y autos</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D25–D35: contrato, oferta, términos firmados y comunicaciones profesionales; solicitud y recibo; deuda; garantías; cláusulas de continuidad</w:t>
            </w:r>
          </w:p>
        </w:tc>
        <w:tc>
          <w:tcPr>
            <w:tcW w:type="dxa" w:w="4762"/>
          </w:tcPr>
          <w:p>
            <w:pPr>
              <w:spacing w:after="60" w:before="40" w:line="240" w:lineRule="auto"/>
            </w:pPr>
            <w:r>
              <w:rPr>
                <w:rFonts w:ascii="Liberation Sans" w:hAnsi="Liberation Sans"/>
                <w:b w:val="0"/>
                <w:sz w:val="19"/>
              </w:rPr>
              <w:t>Fijar condiciones por ruta y actor; garantías por fase; decisiones tras las reuniones, solicitud presentada, respuesta AC/juez y fondos; distinguir cláusulas de continuidad y vencimiento mediante aportación reservada pertinente</w:t>
            </w:r>
          </w:p>
        </w:tc>
        <w:tc>
          <w:tcPr>
            <w:tcW w:type="dxa" w:w="3231"/>
          </w:tcPr>
          <w:p>
            <w:pPr>
              <w:spacing w:after="60" w:before="40" w:line="240" w:lineRule="auto"/>
            </w:pPr>
            <w:r>
              <w:rPr>
                <w:rFonts w:ascii="Liberation Sans" w:hAnsi="Liberation Sans"/>
                <w:b w:val="0"/>
                <w:sz w:val="19"/>
              </w:rPr>
              <w:t>Distingue impedimentos causados por actos identificados de otras explicaciones documentadas. No inferir omisión culpable por ausencia de solicitud formal; cotejar preparación, aviso, facultad y bloqueo por fase</w:t>
            </w:r>
          </w:p>
        </w:tc>
        <w:tc>
          <w:tcPr>
            <w:tcW w:type="dxa" w:w="3061"/>
          </w:tcPr>
          <w:p>
            <w:pPr>
              <w:spacing w:after="60" w:before="40" w:line="240" w:lineRule="auto"/>
            </w:pPr>
            <w:r>
              <w:rPr>
                <w:rFonts w:ascii="Liberation Sans" w:hAnsi="Liberation Sans"/>
                <w:b w:val="0"/>
                <w:sz w:val="19"/>
              </w:rPr>
              <w:t>Comunicaciones profesionales solo en lo pertinente y con régimen de confidencialidad aplicable; no incorporar consejo jurídico ajeno al hecho de aviso.</w:t>
              <w:br/>
              <w:t>Proposiciones: M08</w:t>
            </w:r>
          </w:p>
        </w:tc>
      </w:tr>
    </w:tbl>
    <w:p/>
    <w:p>
      <w:pPr>
        <w:pStyle w:val="Heading2"/>
      </w:pPr>
      <w:r>
        <w:t>P07 Órgano competente / operador, CAM/sucesores y autoridades</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Plano finca–habitación; títulos y licencias; contratos hoteleros; PMS y liquidaciones; documentos presentados a CNMV/AEAT/Yaiza/Cabildo cuando se identifiquen</w:t>
            </w:r>
          </w:p>
        </w:tc>
        <w:tc>
          <w:tcPr>
            <w:tcW w:type="dxa" w:w="4762"/>
          </w:tcPr>
          <w:p>
            <w:pPr>
              <w:spacing w:after="60" w:before="40" w:line="240" w:lineRule="auto"/>
            </w:pPr>
            <w:r>
              <w:rPr>
                <w:rFonts w:ascii="Liberation Sans" w:hAnsi="Liberation Sans"/>
                <w:b w:val="0"/>
                <w:sz w:val="19"/>
              </w:rPr>
              <w:t>Vincular representación de título, emisor, receptor, uso decisorio, activo, ingreso y beneficiario; justificar cada ampliación de custodios</w:t>
            </w:r>
          </w:p>
        </w:tc>
        <w:tc>
          <w:tcPr>
            <w:tcW w:type="dxa" w:w="3231"/>
          </w:tcPr>
          <w:p>
            <w:pPr>
              <w:spacing w:after="60" w:before="40" w:line="240" w:lineRule="auto"/>
            </w:pPr>
            <w:r>
              <w:rPr>
                <w:rFonts w:ascii="Liberation Sans" w:hAnsi="Liberation Sans"/>
                <w:b w:val="0"/>
                <w:sz w:val="19"/>
              </w:rPr>
              <w:t>Distingue explotación lícita posterior de aprovechamiento sobre derechos ajenos y cuantificar sin doble cómputo</w:t>
            </w:r>
          </w:p>
        </w:tc>
        <w:tc>
          <w:tcPr>
            <w:tcW w:type="dxa" w:w="3061"/>
          </w:tcPr>
          <w:p>
            <w:pPr>
              <w:spacing w:after="60" w:before="40" w:line="240" w:lineRule="auto"/>
            </w:pPr>
            <w:r>
              <w:rPr>
                <w:rFonts w:ascii="Liberation Sans" w:hAnsi="Liberation Sans"/>
                <w:b w:val="0"/>
                <w:sz w:val="19"/>
              </w:rPr>
              <w:t>Inicialmente unidades y períodos controvertidos; excluir investigación genérica de todas las relaciones fiscales o inversores.</w:t>
              <w:br/>
              <w:t>Proposiciones: M09</w:t>
            </w:r>
          </w:p>
        </w:tc>
      </w:tr>
    </w:tbl>
    <w:p/>
    <w:p>
      <w:pPr>
        <w:pStyle w:val="Heading2"/>
      </w:pPr>
      <w:r>
        <w:t>P08 Órgano penal competente</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Contradicciones residuales de D15–D17 y documentación P01–P04</w:t>
            </w:r>
          </w:p>
        </w:tc>
        <w:tc>
          <w:tcPr>
            <w:tcW w:type="dxa" w:w="4762"/>
          </w:tcPr>
          <w:p>
            <w:pPr>
              <w:spacing w:after="60" w:before="40" w:line="240" w:lineRule="auto"/>
            </w:pPr>
            <w:r>
              <w:rPr>
                <w:rFonts w:ascii="Liberation Sans" w:hAnsi="Liberation Sans"/>
                <w:b w:val="0"/>
                <w:sz w:val="19"/>
              </w:rPr>
              <w:t>Tras cotejo documental, declaración dirigida de AC, Laura Patricia, José Daniel, responsables de seguridad y testigos con preguntas por acto y finca</w:t>
            </w:r>
          </w:p>
        </w:tc>
        <w:tc>
          <w:tcPr>
            <w:tcW w:type="dxa" w:w="3231"/>
          </w:tcPr>
          <w:p>
            <w:pPr>
              <w:spacing w:after="60" w:before="40" w:line="240" w:lineRule="auto"/>
            </w:pPr>
            <w:r>
              <w:rPr>
                <w:rFonts w:ascii="Liberation Sans" w:hAnsi="Liberation Sans"/>
                <w:b w:val="0"/>
                <w:sz w:val="19"/>
              </w:rPr>
              <w:t>Distingue autor material, mandante, receptor de aviso y mero vínculo personal; permite explicación exculpatoria</w:t>
            </w:r>
          </w:p>
        </w:tc>
        <w:tc>
          <w:tcPr>
            <w:tcW w:type="dxa" w:w="3061"/>
          </w:tcPr>
          <w:p>
            <w:pPr>
              <w:spacing w:after="60" w:before="40" w:line="240" w:lineRule="auto"/>
            </w:pPr>
            <w:r>
              <w:rPr>
                <w:rFonts w:ascii="Liberation Sans" w:hAnsi="Liberation Sans"/>
                <w:b w:val="0"/>
                <w:sz w:val="19"/>
              </w:rPr>
              <w:t>Condicionada a novedad/pertinencia y a no repetir declaraciones ya valoradas sin objeto nuevo.</w:t>
              <w:br/>
              <w:t>Proposiciones: M04;M05</w:t>
            </w:r>
          </w:p>
        </w:tc>
      </w:tr>
    </w:tbl>
    <w:p/>
    <w:p>
      <w:pPr>
        <w:pStyle w:val="Heading2"/>
      </w:pPr>
      <w:r>
        <w:t>L01 Órgano competente según responsabilidad</w:t>
      </w:r>
    </w:p>
    <w:tbl>
      <w:tblPr>
        <w:tblStyle w:val="TableGrid"/>
        <w:tblW w:type="auto" w:w="0"/>
        <w:tblLayout w:type="fixed"/>
        <w:tblLook w:firstColumn="1" w:firstRow="1" w:lastColumn="0" w:lastRow="0" w:noHBand="0" w:noVBand="1" w:val="04A0"/>
      </w:tblPr>
      <w:tblGrid>
        <w:gridCol w:w="3515"/>
        <w:gridCol w:w="4762"/>
        <w:gridCol w:w="3231"/>
        <w:gridCol w:w="3061"/>
      </w:tblGrid>
      <w:tr>
        <w:trPr>
          <w:tblHeader/>
          <w:cantSplit/>
        </w:trPr>
        <w:tc>
          <w:tcPr>
            <w:tcW w:type="dxa" w:w="3515"/>
            <w:shd w:fill="E8EBEF"/>
          </w:tcPr>
          <w:p>
            <w:pPr>
              <w:spacing w:after="60" w:before="40" w:line="240" w:lineRule="auto"/>
            </w:pPr>
            <w:r>
              <w:rPr>
                <w:rFonts w:ascii="Liberation Sans" w:hAnsi="Liberation Sans"/>
                <w:b/>
                <w:sz w:val="19"/>
              </w:rPr>
              <w:t>Registro y objeto</w:t>
            </w:r>
          </w:p>
        </w:tc>
        <w:tc>
          <w:tcPr>
            <w:tcW w:type="dxa" w:w="4762"/>
            <w:shd w:fill="E8EBEF"/>
          </w:tcPr>
          <w:p>
            <w:pPr>
              <w:spacing w:after="60" w:before="40" w:line="240" w:lineRule="auto"/>
            </w:pPr>
            <w:r>
              <w:rPr>
                <w:rFonts w:ascii="Liberation Sans" w:hAnsi="Liberation Sans"/>
                <w:b/>
                <w:sz w:val="19"/>
              </w:rPr>
              <w:t>Comprobación solicitada</w:t>
            </w:r>
          </w:p>
        </w:tc>
        <w:tc>
          <w:tcPr>
            <w:tcW w:type="dxa" w:w="3231"/>
            <w:shd w:fill="E8EBEF"/>
          </w:tcPr>
          <w:p>
            <w:pPr>
              <w:spacing w:after="60" w:before="40" w:line="240" w:lineRule="auto"/>
            </w:pPr>
            <w:r>
              <w:rPr>
                <w:rFonts w:ascii="Liberation Sans" w:hAnsi="Liberation Sans"/>
                <w:b/>
                <w:sz w:val="19"/>
              </w:rPr>
              <w:t>Explicaciones que distingue</w:t>
            </w:r>
          </w:p>
        </w:tc>
        <w:tc>
          <w:tcPr>
            <w:tcW w:type="dxa" w:w="3061"/>
            <w:shd w:fill="E8EBEF"/>
          </w:tcPr>
          <w:p>
            <w:pPr>
              <w:spacing w:after="60" w:before="40" w:line="240" w:lineRule="auto"/>
            </w:pPr>
            <w:r>
              <w:rPr>
                <w:rFonts w:ascii="Liberation Sans" w:hAnsi="Liberation Sans"/>
                <w:b/>
                <w:sz w:val="19"/>
              </w:rPr>
              <w:t>Orden y límite</w:t>
            </w:r>
          </w:p>
        </w:tc>
      </w:tr>
      <w:tr>
        <w:trPr>
          <w:cantSplit/>
        </w:trPr>
        <w:tc>
          <w:tcPr>
            <w:tcW w:type="dxa" w:w="3515"/>
          </w:tcPr>
          <w:p>
            <w:pPr>
              <w:spacing w:after="60" w:before="40" w:line="240" w:lineRule="auto"/>
            </w:pPr>
            <w:r>
              <w:rPr>
                <w:rFonts w:ascii="Liberation Sans" w:hAnsi="Liberation Sans"/>
                <w:b w:val="0"/>
                <w:sz w:val="19"/>
              </w:rPr>
              <w:t>Resoluciones penales de incoación/imputación, archivo/firmeza y reapertura; eventual incoación/notificación disciplinaria</w:t>
            </w:r>
          </w:p>
        </w:tc>
        <w:tc>
          <w:tcPr>
            <w:tcW w:type="dxa" w:w="4762"/>
          </w:tcPr>
          <w:p>
            <w:pPr>
              <w:spacing w:after="60" w:before="40" w:line="240" w:lineRule="auto"/>
            </w:pPr>
            <w:r>
              <w:rPr>
                <w:rFonts w:ascii="Liberation Sans" w:hAnsi="Liberation Sans"/>
                <w:b w:val="0"/>
                <w:sz w:val="19"/>
              </w:rPr>
              <w:t>Hoja por actor y acto: tipo aplicable, pena máxima, consumación/cese, término y acto interruptivo; decidir competencia y prescripción antes de diligencias intrusivas</w:t>
            </w:r>
          </w:p>
        </w:tc>
        <w:tc>
          <w:tcPr>
            <w:tcW w:type="dxa" w:w="3231"/>
          </w:tcPr>
          <w:p>
            <w:pPr>
              <w:spacing w:after="60" w:before="40" w:line="240" w:lineRule="auto"/>
            </w:pPr>
            <w:r>
              <w:rPr>
                <w:rFonts w:ascii="Liberation Sans" w:hAnsi="Liberation Sans"/>
                <w:b w:val="0"/>
                <w:sz w:val="19"/>
              </w:rPr>
              <w:t>Evita equiparar perjuicio persistente a delito permanente o nueva denuncia a interrupción automática</w:t>
            </w:r>
          </w:p>
        </w:tc>
        <w:tc>
          <w:tcPr>
            <w:tcW w:type="dxa" w:w="3061"/>
          </w:tcPr>
          <w:p>
            <w:pPr>
              <w:spacing w:after="60" w:before="40" w:line="240" w:lineRule="auto"/>
            </w:pPr>
            <w:r>
              <w:rPr>
                <w:rFonts w:ascii="Liberation Sans" w:hAnsi="Liberation Sans"/>
                <w:b w:val="0"/>
                <w:sz w:val="19"/>
              </w:rPr>
              <w:t>Prioritaria al encauzar cada vía; el recurso administrativo tiene su propio plazo y objeto.</w:t>
              <w:br/>
              <w:t>Proposiciones: M10</w:t>
            </w:r>
          </w:p>
        </w:tc>
      </w:tr>
    </w:tbl>
    <w:p/>
    <w:p>
      <w:pPr>
        <w:pStyle w:val="Heading1"/>
        <w:pageBreakBefore/>
      </w:pPr>
      <w:r>
        <w:t>6 Control jurídico y temporal</w:t>
      </w:r>
    </w:p>
    <w:tbl>
      <w:tblPr>
        <w:tblStyle w:val="TableGrid"/>
        <w:tblW w:type="auto" w:w="0"/>
        <w:tblLayout w:type="fixed"/>
        <w:tblLook w:firstColumn="1" w:firstRow="1" w:lastColumn="0" w:lastRow="0" w:noHBand="0" w:noVBand="1" w:val="04A0"/>
      </w:tblPr>
      <w:tblGrid>
        <w:gridCol w:w="2381"/>
        <w:gridCol w:w="3969"/>
        <w:gridCol w:w="8220"/>
      </w:tblGrid>
      <w:tr>
        <w:trPr>
          <w:tblHeader/>
          <w:cantSplit/>
        </w:trPr>
        <w:tc>
          <w:tcPr>
            <w:tcW w:type="dxa" w:w="2381"/>
            <w:shd w:fill="E8EBEF"/>
          </w:tcPr>
          <w:p>
            <w:pPr>
              <w:spacing w:after="60" w:before="40" w:line="240" w:lineRule="auto"/>
            </w:pPr>
            <w:r>
              <w:rPr>
                <w:rFonts w:ascii="Liberation Sans" w:hAnsi="Liberation Sans"/>
                <w:b/>
                <w:sz w:val="19"/>
              </w:rPr>
              <w:t>Cuestión</w:t>
            </w:r>
          </w:p>
        </w:tc>
        <w:tc>
          <w:tcPr>
            <w:tcW w:type="dxa" w:w="3969"/>
            <w:shd w:fill="E8EBEF"/>
          </w:tcPr>
          <w:p>
            <w:pPr>
              <w:spacing w:after="60" w:before="40" w:line="240" w:lineRule="auto"/>
            </w:pPr>
            <w:r>
              <w:rPr>
                <w:rFonts w:ascii="Liberation Sans" w:hAnsi="Liberation Sans"/>
                <w:b/>
                <w:sz w:val="19"/>
              </w:rPr>
              <w:t>Regla y fuente oficial</w:t>
            </w:r>
          </w:p>
        </w:tc>
        <w:tc>
          <w:tcPr>
            <w:tcW w:type="dxa" w:w="8220"/>
            <w:shd w:fill="E8EBEF"/>
          </w:tcPr>
          <w:p>
            <w:pPr>
              <w:spacing w:after="60" w:before="40" w:line="240" w:lineRule="auto"/>
            </w:pPr>
            <w:r>
              <w:rPr>
                <w:rFonts w:ascii="Liberation Sans" w:hAnsi="Liberation Sans"/>
                <w:b/>
                <w:sz w:val="19"/>
              </w:rPr>
              <w:t>Aplicación y límite</w:t>
            </w:r>
          </w:p>
        </w:tc>
      </w:tr>
      <w:tr>
        <w:trPr>
          <w:cantSplit/>
        </w:trPr>
        <w:tc>
          <w:tcPr>
            <w:tcW w:type="dxa" w:w="2381"/>
          </w:tcPr>
          <w:p>
            <w:pPr>
              <w:spacing w:after="60" w:before="40" w:line="240" w:lineRule="auto"/>
            </w:pPr>
            <w:r>
              <w:rPr>
                <w:rFonts w:ascii="Liberation Sans" w:hAnsi="Liberation Sans"/>
                <w:b w:val="0"/>
                <w:sz w:val="19"/>
              </w:rPr>
              <w:t>Reposición EG 745</w:t>
            </w:r>
          </w:p>
        </w:tc>
        <w:tc>
          <w:tcPr>
            <w:tcW w:type="dxa" w:w="3969"/>
          </w:tcPr>
          <w:p>
            <w:pPr>
              <w:spacing w:after="60" w:before="40" w:line="240" w:lineRule="auto"/>
            </w:pPr>
            <w:r>
              <w:rPr>
                <w:rFonts w:ascii="Liberation Sans" w:hAnsi="Liberation Sans"/>
                <w:b w:val="0"/>
                <w:sz w:val="19"/>
              </w:rPr>
              <w:t>RMF arts.3,10.2,13,163,165; LPAC arts.118,123–124</w:t>
            </w:r>
          </w:p>
        </w:tc>
        <w:tc>
          <w:tcPr>
            <w:tcW w:type="dxa" w:w="8220"/>
          </w:tcPr>
          <w:p>
            <w:pPr>
              <w:spacing w:after="60" w:before="40" w:line="240" w:lineRule="auto"/>
            </w:pPr>
            <w:r>
              <w:rPr>
                <w:rFonts w:ascii="Liberation Sans" w:hAnsi="Liberation Sans"/>
                <w:b w:val="0"/>
                <w:sz w:val="19"/>
              </w:rPr>
              <w:t>Acto impugnado 26AGO2026. Un mes desde notificación válida. Documento sobrevenido D6 distinto de fuentes históricas. No segundo recurso idéntico si ya se hubiera resuelto una reposición.</w:t>
            </w:r>
          </w:p>
        </w:tc>
      </w:tr>
      <w:tr>
        <w:trPr>
          <w:cantSplit/>
        </w:trPr>
        <w:tc>
          <w:tcPr>
            <w:tcW w:type="dxa" w:w="2381"/>
          </w:tcPr>
          <w:p>
            <w:pPr>
              <w:spacing w:after="60" w:before="40" w:line="240" w:lineRule="auto"/>
            </w:pPr>
            <w:r>
              <w:rPr>
                <w:rFonts w:ascii="Liberation Sans" w:hAnsi="Liberation Sans"/>
                <w:b w:val="0"/>
                <w:sz w:val="19"/>
              </w:rPr>
              <w:t>Propiedad y garantía</w:t>
            </w:r>
          </w:p>
        </w:tc>
        <w:tc>
          <w:tcPr>
            <w:tcW w:type="dxa" w:w="3969"/>
          </w:tcPr>
          <w:p>
            <w:pPr>
              <w:spacing w:after="60" w:before="40" w:line="240" w:lineRule="auto"/>
            </w:pPr>
            <w:r>
              <w:rPr>
                <w:rFonts w:ascii="Liberation Sans" w:hAnsi="Liberation Sans"/>
                <w:b w:val="0"/>
                <w:sz w:val="19"/>
              </w:rPr>
              <w:t>CC arts.441,446,1859,1876; LC22/2003 arts.89–90,148.5,155</w:t>
            </w:r>
          </w:p>
        </w:tc>
        <w:tc>
          <w:tcPr>
            <w:tcW w:type="dxa" w:w="8220"/>
          </w:tcPr>
          <w:p>
            <w:pPr>
              <w:spacing w:after="60" w:before="40" w:line="240" w:lineRule="auto"/>
            </w:pPr>
            <w:r>
              <w:rPr>
                <w:rFonts w:ascii="Liberation Sans" w:hAnsi="Liberation Sans"/>
                <w:b w:val="0"/>
                <w:sz w:val="19"/>
              </w:rPr>
              <w:t>El privilegio especial se delimita por garantía. Examinar autorizaciones y entrega, no solo crédito. La dación concursal autorizada no es ilícita por su sola denominación.</w:t>
            </w:r>
          </w:p>
        </w:tc>
      </w:tr>
      <w:tr>
        <w:trPr>
          <w:cantSplit/>
        </w:trPr>
        <w:tc>
          <w:tcPr>
            <w:tcW w:type="dxa" w:w="2381"/>
          </w:tcPr>
          <w:p>
            <w:pPr>
              <w:spacing w:after="60" w:before="40" w:line="240" w:lineRule="auto"/>
            </w:pPr>
            <w:r>
              <w:rPr>
                <w:rFonts w:ascii="Liberation Sans" w:hAnsi="Liberation Sans"/>
                <w:b w:val="0"/>
                <w:sz w:val="19"/>
              </w:rPr>
              <w:t>Calificación y proceso penal</w:t>
            </w:r>
          </w:p>
        </w:tc>
        <w:tc>
          <w:tcPr>
            <w:tcW w:type="dxa" w:w="3969"/>
          </w:tcPr>
          <w:p>
            <w:pPr>
              <w:spacing w:after="60" w:before="40" w:line="240" w:lineRule="auto"/>
            </w:pPr>
            <w:r>
              <w:rPr>
                <w:rFonts w:ascii="Liberation Sans" w:hAnsi="Liberation Sans"/>
                <w:b w:val="0"/>
                <w:sz w:val="19"/>
              </w:rPr>
              <w:t>LC22/2003 art.163.2 en redacción consultada de 2OCT2015</w:t>
            </w:r>
          </w:p>
        </w:tc>
        <w:tc>
          <w:tcPr>
            <w:tcW w:type="dxa" w:w="8220"/>
          </w:tcPr>
          <w:p>
            <w:pPr>
              <w:spacing w:after="60" w:before="40" w:line="240" w:lineRule="auto"/>
            </w:pPr>
            <w:r>
              <w:rPr>
                <w:rFonts w:ascii="Liberation Sans" w:hAnsi="Liberation Sans"/>
                <w:b w:val="0"/>
                <w:sz w:val="19"/>
              </w:rPr>
              <w:t>Separación del juicio penal sobre deudor; no prohibición de citar antecedentes concursales. Uso inferencial de D11 debe distinguir posición y hecho probado.</w:t>
            </w:r>
          </w:p>
        </w:tc>
      </w:tr>
      <w:tr>
        <w:trPr>
          <w:cantSplit/>
        </w:trPr>
        <w:tc>
          <w:tcPr>
            <w:tcW w:type="dxa" w:w="2381"/>
          </w:tcPr>
          <w:p>
            <w:pPr>
              <w:spacing w:after="60" w:before="40" w:line="240" w:lineRule="auto"/>
            </w:pPr>
            <w:r>
              <w:rPr>
                <w:rFonts w:ascii="Liberation Sans" w:hAnsi="Liberation Sans"/>
                <w:b w:val="0"/>
                <w:sz w:val="19"/>
              </w:rPr>
              <w:t>Hechos judicializados</w:t>
            </w:r>
          </w:p>
        </w:tc>
        <w:tc>
          <w:tcPr>
            <w:tcW w:type="dxa" w:w="3969"/>
          </w:tcPr>
          <w:p>
            <w:pPr>
              <w:spacing w:after="60" w:before="40" w:line="240" w:lineRule="auto"/>
            </w:pPr>
            <w:r>
              <w:rPr>
                <w:rFonts w:ascii="Liberation Sans" w:hAnsi="Liberation Sans"/>
                <w:b w:val="0"/>
                <w:sz w:val="19"/>
              </w:rPr>
              <w:t>LECrim arts.637,641 y 773.2</w:t>
            </w:r>
          </w:p>
        </w:tc>
        <w:tc>
          <w:tcPr>
            <w:tcW w:type="dxa" w:w="8220"/>
          </w:tcPr>
          <w:p>
            <w:pPr>
              <w:spacing w:after="60" w:before="40" w:line="240" w:lineRule="auto"/>
            </w:pPr>
            <w:r>
              <w:rPr>
                <w:rFonts w:ascii="Liberation Sans" w:hAnsi="Liberation Sans"/>
                <w:b w:val="0"/>
                <w:sz w:val="19"/>
              </w:rPr>
              <w:t>D15 confirma archivo provisional con examen adverso. La vía competente debe valorar datos nuevos; Inspección no revoca el auto.</w:t>
            </w:r>
          </w:p>
        </w:tc>
      </w:tr>
      <w:tr>
        <w:trPr>
          <w:cantSplit/>
        </w:trPr>
        <w:tc>
          <w:tcPr>
            <w:tcW w:type="dxa" w:w="2381"/>
          </w:tcPr>
          <w:p>
            <w:pPr>
              <w:spacing w:after="60" w:before="40" w:line="240" w:lineRule="auto"/>
            </w:pPr>
            <w:r>
              <w:rPr>
                <w:rFonts w:ascii="Liberation Sans" w:hAnsi="Liberation Sans"/>
                <w:b w:val="0"/>
                <w:sz w:val="19"/>
              </w:rPr>
              <w:t>Tipos penales posibles</w:t>
            </w:r>
          </w:p>
        </w:tc>
        <w:tc>
          <w:tcPr>
            <w:tcW w:type="dxa" w:w="3969"/>
          </w:tcPr>
          <w:p>
            <w:pPr>
              <w:spacing w:after="60" w:before="40" w:line="240" w:lineRule="auto"/>
            </w:pPr>
            <w:r>
              <w:rPr>
                <w:rFonts w:ascii="Liberation Sans" w:hAnsi="Liberation Sans"/>
                <w:b w:val="0"/>
                <w:sz w:val="19"/>
              </w:rPr>
              <w:t>CP arts.172,252,263,455; según conducta y redacción temporal</w:t>
            </w:r>
          </w:p>
        </w:tc>
        <w:tc>
          <w:tcPr>
            <w:tcW w:type="dxa" w:w="8220"/>
          </w:tcPr>
          <w:p>
            <w:pPr>
              <w:spacing w:after="60" w:before="40" w:line="240" w:lineRule="auto"/>
            </w:pPr>
            <w:r>
              <w:rPr>
                <w:rFonts w:ascii="Liberation Sans" w:hAnsi="Liberation Sans"/>
                <w:b w:val="0"/>
                <w:sz w:val="19"/>
              </w:rPr>
              <w:t>Ninguno se presume. Precisar coacción/fuerza, ajenidad/daño, facultad de administración y perjuicio, derecho propio y fuera de vías legales, autoría y dolo según tipo.</w:t>
            </w:r>
          </w:p>
        </w:tc>
      </w:tr>
      <w:tr>
        <w:trPr>
          <w:cantSplit/>
        </w:trPr>
        <w:tc>
          <w:tcPr>
            <w:tcW w:type="dxa" w:w="2381"/>
          </w:tcPr>
          <w:p>
            <w:pPr>
              <w:spacing w:after="60" w:before="40" w:line="240" w:lineRule="auto"/>
            </w:pPr>
            <w:r>
              <w:rPr>
                <w:rFonts w:ascii="Liberation Sans" w:hAnsi="Liberation Sans"/>
                <w:b w:val="0"/>
                <w:sz w:val="19"/>
              </w:rPr>
              <w:t>Prescripción penal</w:t>
            </w:r>
          </w:p>
        </w:tc>
        <w:tc>
          <w:tcPr>
            <w:tcW w:type="dxa" w:w="3969"/>
          </w:tcPr>
          <w:p>
            <w:pPr>
              <w:spacing w:after="60" w:before="40" w:line="240" w:lineRule="auto"/>
            </w:pPr>
            <w:r>
              <w:rPr>
                <w:rFonts w:ascii="Liberation Sans" w:hAnsi="Liberation Sans"/>
                <w:b w:val="0"/>
                <w:sz w:val="19"/>
              </w:rPr>
              <w:t>CP arts.131–132; art.2 para ley temporal favorable</w:t>
            </w:r>
          </w:p>
        </w:tc>
        <w:tc>
          <w:tcPr>
            <w:tcW w:type="dxa" w:w="8220"/>
          </w:tcPr>
          <w:p>
            <w:pPr>
              <w:spacing w:after="60" w:before="40" w:line="240" w:lineRule="auto"/>
            </w:pPr>
            <w:r>
              <w:rPr>
                <w:rFonts w:ascii="Liberation Sans" w:hAnsi="Liberation Sans"/>
                <w:b w:val="0"/>
                <w:sz w:val="19"/>
              </w:rPr>
              <w:t>Construir cálculo por actor/acto. En la hipótesis aislada del art 455, el plazo ordinario de 5 años obliga a comprobar interrupciones de 2018; una nueva queja en 2026 no basta. Conexión o permanencia requieren presupuestos legales probados.</w:t>
            </w:r>
          </w:p>
        </w:tc>
      </w:tr>
      <w:tr>
        <w:trPr>
          <w:cantSplit/>
        </w:trPr>
        <w:tc>
          <w:tcPr>
            <w:tcW w:type="dxa" w:w="2381"/>
          </w:tcPr>
          <w:p>
            <w:pPr>
              <w:spacing w:after="60" w:before="40" w:line="240" w:lineRule="auto"/>
            </w:pPr>
            <w:r>
              <w:rPr>
                <w:rFonts w:ascii="Liberation Sans" w:hAnsi="Liberation Sans"/>
                <w:b w:val="0"/>
                <w:sz w:val="19"/>
              </w:rPr>
              <w:t>Prescripción disciplinaria</w:t>
            </w:r>
          </w:p>
        </w:tc>
        <w:tc>
          <w:tcPr>
            <w:tcW w:type="dxa" w:w="3969"/>
          </w:tcPr>
          <w:p>
            <w:pPr>
              <w:spacing w:after="60" w:before="40" w:line="240" w:lineRule="auto"/>
            </w:pPr>
            <w:r>
              <w:rPr>
                <w:rFonts w:ascii="Liberation Sans" w:hAnsi="Liberation Sans"/>
                <w:b w:val="0"/>
                <w:sz w:val="19"/>
              </w:rPr>
              <w:t>RMF art.157 y régimen aplicable al hecho</w:t>
            </w:r>
          </w:p>
        </w:tc>
        <w:tc>
          <w:tcPr>
            <w:tcW w:type="dxa" w:w="8220"/>
          </w:tcPr>
          <w:p>
            <w:pPr>
              <w:spacing w:after="60" w:before="40" w:line="240" w:lineRule="auto"/>
            </w:pPr>
            <w:r>
              <w:rPr>
                <w:rFonts w:ascii="Liberation Sans" w:hAnsi="Liberation Sans"/>
                <w:b w:val="0"/>
                <w:sz w:val="19"/>
              </w:rPr>
              <w:t>Dos años/muy grave; uno/grave; seis meses/leve. Actos aislados 2019/2023 no reviven por queja 2026; comprobar interrupción legal. Revisión del funcionamiento de 2026 y acceso tienen objeto diferente.</w:t>
            </w:r>
          </w:p>
        </w:tc>
      </w:tr>
      <w:tr>
        <w:trPr>
          <w:cantSplit/>
        </w:trPr>
        <w:tc>
          <w:tcPr>
            <w:tcW w:type="dxa" w:w="2381"/>
          </w:tcPr>
          <w:p>
            <w:pPr>
              <w:spacing w:after="60" w:before="40" w:line="240" w:lineRule="auto"/>
            </w:pPr>
            <w:r>
              <w:rPr>
                <w:rFonts w:ascii="Liberation Sans" w:hAnsi="Liberation Sans"/>
                <w:b w:val="0"/>
                <w:sz w:val="19"/>
              </w:rPr>
              <w:t>Notificación y firma</w:t>
            </w:r>
          </w:p>
        </w:tc>
        <w:tc>
          <w:tcPr>
            <w:tcW w:type="dxa" w:w="3969"/>
          </w:tcPr>
          <w:p>
            <w:pPr>
              <w:spacing w:after="60" w:before="40" w:line="240" w:lineRule="auto"/>
            </w:pPr>
            <w:r>
              <w:rPr>
                <w:rFonts w:ascii="Liberation Sans" w:hAnsi="Liberation Sans"/>
                <w:b w:val="0"/>
                <w:sz w:val="19"/>
              </w:rPr>
              <w:t>LPAC art.30 y 124; pie de recursos D1</w:t>
            </w:r>
          </w:p>
        </w:tc>
        <w:tc>
          <w:tcPr>
            <w:tcW w:type="dxa" w:w="8220"/>
          </w:tcPr>
          <w:p>
            <w:pPr>
              <w:spacing w:after="60" w:before="40" w:line="240" w:lineRule="auto"/>
            </w:pPr>
            <w:r>
              <w:rPr>
                <w:rFonts w:ascii="Liberation Sans" w:hAnsi="Liberation Sans"/>
                <w:b w:val="0"/>
                <w:sz w:val="19"/>
              </w:rPr>
              <w:t>Si aviso 26 AGO fue notificación efectiva, el vencimiento mensual ordinario sería 26 SEP, sábado; traslado al siguiente hábil sujeto a calendario. Presentar sin agotar cálculo. Usar fecha real de firma, nunca 9 SEP por arrastre.</w:t>
            </w:r>
          </w:p>
        </w:tc>
      </w:tr>
    </w:tbl>
    <w:p/>
    <w:p>
      <w:r>
        <w:t>Reglamento Ministerio Fiscal RD305/2022 — https://www.boe.es/buscar/act.php?id=BOE-A-2022-7184</w:t>
      </w:r>
    </w:p>
    <w:p>
      <w:r>
        <w:t>Ley39/2015 — https://www.boe.es/buscar/act.php?id=BOE-A-2015-10565</w:t>
      </w:r>
    </w:p>
    <w:p>
      <w:r>
        <w:t>Código Civil — https://www.boe.es/buscar/act.php?id=BOE-A-1889-4763</w:t>
      </w:r>
    </w:p>
    <w:p>
      <w:r>
        <w:t>Ley Concursal versión histórica2OCT2015 — https://www.boe.es/eli/es/l/2003/07/09/22/con/20151002</w:t>
      </w:r>
    </w:p>
    <w:p>
      <w:r>
        <w:t>LECrim — https://www.boe.es/buscar/act.php?id=BOE-A-1882-6036</w:t>
      </w:r>
    </w:p>
    <w:p>
      <w:r>
        <w:t>Código Penal — https://www.boe.es/buscar/act.php?id=BOE-A-1995-25444</w:t>
      </w:r>
    </w:p>
    <w:p>
      <w:r>
        <w:t>Fuentes BOE consultadas el 12 de septiembre de 2026. Para una imputación o remedio patrimonial concreto deberá fijarse además la redacción y disposición transitoria aplicable a su acto; no se traslada el TRLC actual a 2018 como si hubiera estado vigente entonces.</w:t>
      </w:r>
    </w:p>
    <w:p>
      <w:pPr>
        <w:pStyle w:val="Heading1"/>
        <w:pageBreakBefore/>
      </w:pPr>
      <w:r>
        <w:t>7 Índice documental y calidad de la fuente</w:t>
      </w:r>
    </w:p>
    <w:p>
      <w:r>
        <w:t>D1–D9 mantienen la numeración del paquete anterior. D7 comprende cuatro actos. D29 comprende dos correos de la misma cadena informativa. Los números de página citados son del PDF fuente, salvo indicación expresa. Las copias consolidadas son de consulta y no preservan las firmas criptográficas de los archivos nativos. Los originales se conservan por separado.</w:t>
      </w:r>
    </w:p>
    <w:tbl>
      <w:tblPr>
        <w:tblStyle w:val="TableGrid"/>
        <w:tblW w:type="auto" w:w="0"/>
        <w:tblLayout w:type="fixed"/>
        <w:tblLook w:firstColumn="1" w:firstRow="1" w:lastColumn="0" w:lastRow="0" w:noHBand="0" w:noVBand="1" w:val="04A0"/>
      </w:tblPr>
      <w:tblGrid>
        <w:gridCol w:w="2891"/>
        <w:gridCol w:w="2551"/>
        <w:gridCol w:w="4252"/>
        <w:gridCol w:w="4876"/>
      </w:tblGrid>
      <w:tr>
        <w:trPr>
          <w:tblHeader/>
          <w:cantSplit/>
        </w:trPr>
        <w:tc>
          <w:tcPr>
            <w:tcW w:type="dxa" w:w="2891"/>
            <w:shd w:fill="E8EBEF"/>
          </w:tcPr>
          <w:p>
            <w:pPr>
              <w:spacing w:after="60" w:before="40" w:line="240" w:lineRule="auto"/>
            </w:pPr>
            <w:r>
              <w:rPr>
                <w:rFonts w:ascii="Liberation Sans" w:hAnsi="Liberation Sans"/>
                <w:b/>
                <w:sz w:val="18"/>
              </w:rPr>
              <w:t>Documento</w:t>
            </w:r>
          </w:p>
        </w:tc>
        <w:tc>
          <w:tcPr>
            <w:tcW w:type="dxa" w:w="2551"/>
            <w:shd w:fill="E8EBEF"/>
          </w:tcPr>
          <w:p>
            <w:pPr>
              <w:spacing w:after="60" w:before="40" w:line="240" w:lineRule="auto"/>
            </w:pPr>
            <w:r>
              <w:rPr>
                <w:rFonts w:ascii="Liberation Sans" w:hAnsi="Liberation Sans"/>
                <w:b/>
                <w:sz w:val="18"/>
              </w:rPr>
              <w:t>Fecha y expediente</w:t>
            </w:r>
          </w:p>
        </w:tc>
        <w:tc>
          <w:tcPr>
            <w:tcW w:type="dxa" w:w="4252"/>
            <w:shd w:fill="E8EBEF"/>
          </w:tcPr>
          <w:p>
            <w:pPr>
              <w:spacing w:after="60" w:before="40" w:line="240" w:lineRule="auto"/>
            </w:pPr>
            <w:r>
              <w:rPr>
                <w:rFonts w:ascii="Liberation Sans" w:hAnsi="Liberation Sans"/>
                <w:b/>
                <w:sz w:val="18"/>
              </w:rPr>
              <w:t>Clase y alcance revisado</w:t>
            </w:r>
          </w:p>
        </w:tc>
        <w:tc>
          <w:tcPr>
            <w:tcW w:type="dxa" w:w="4876"/>
            <w:shd w:fill="E8EBEF"/>
          </w:tcPr>
          <w:p>
            <w:pPr>
              <w:spacing w:after="60" w:before="40" w:line="240" w:lineRule="auto"/>
            </w:pPr>
            <w:r>
              <w:rPr>
                <w:rFonts w:ascii="Liberation Sans" w:hAnsi="Liberation Sans"/>
                <w:b/>
                <w:sz w:val="18"/>
              </w:rPr>
              <w:t>Uso y limitación</w:t>
            </w:r>
          </w:p>
        </w:tc>
      </w:tr>
      <w:tr>
        <w:trPr>
          <w:cantSplit/>
        </w:trPr>
        <w:tc>
          <w:tcPr>
            <w:tcW w:type="dxa" w:w="2891"/>
          </w:tcPr>
          <w:p>
            <w:pPr>
              <w:spacing w:after="60" w:before="40" w:line="240" w:lineRule="auto"/>
            </w:pPr>
            <w:r>
              <w:rPr>
                <w:rFonts w:ascii="Liberation Sans" w:hAnsi="Liberation Sans"/>
                <w:b w:val="0"/>
                <w:sz w:val="18"/>
              </w:rPr>
              <w:t>D1 Oficio y Decreto EG 745</w:t>
            </w:r>
          </w:p>
        </w:tc>
        <w:tc>
          <w:tcPr>
            <w:tcW w:type="dxa" w:w="2551"/>
          </w:tcPr>
          <w:p>
            <w:pPr>
              <w:spacing w:after="60" w:before="40" w:line="240" w:lineRule="auto"/>
            </w:pPr>
            <w:r>
              <w:rPr>
                <w:rFonts w:ascii="Liberation Sans" w:hAnsi="Liberation Sans"/>
                <w:b w:val="0"/>
                <w:sz w:val="18"/>
              </w:rPr>
              <w:t>2026-08-26</w:t>
              <w:br/>
              <w:t>EG 745/2026</w:t>
            </w:r>
          </w:p>
        </w:tc>
        <w:tc>
          <w:tcPr>
            <w:tcW w:type="dxa" w:w="4252"/>
          </w:tcPr>
          <w:p>
            <w:pPr>
              <w:spacing w:after="60" w:before="40" w:line="240" w:lineRule="auto"/>
            </w:pPr>
            <w:r>
              <w:rPr>
                <w:rFonts w:ascii="Liberation Sans" w:hAnsi="Liberation Sans"/>
                <w:b w:val="0"/>
                <w:sz w:val="18"/>
              </w:rPr>
              <w:t>ACTO_DOCUMENTADO</w:t>
              <w:br/>
              <w:t>3 páginas; cotejo visual completo</w:t>
            </w:r>
          </w:p>
        </w:tc>
        <w:tc>
          <w:tcPr>
            <w:tcW w:type="dxa" w:w="4876"/>
          </w:tcPr>
          <w:p>
            <w:pPr>
              <w:spacing w:after="60" w:before="40" w:line="240" w:lineRule="auto"/>
            </w:pPr>
            <w:r>
              <w:rPr>
                <w:rFonts w:ascii="Liberation Sans" w:hAnsi="Liberation Sans"/>
                <w:b w:val="0"/>
                <w:sz w:val="18"/>
              </w:rPr>
              <w:t>Recurso apertura; M01; I01</w:t>
              <w:br/>
              <w:t>Copia escaneada; no validación criptográfica de firma.</w:t>
            </w:r>
          </w:p>
        </w:tc>
      </w:tr>
      <w:tr>
        <w:trPr>
          <w:cantSplit/>
        </w:trPr>
        <w:tc>
          <w:tcPr>
            <w:tcW w:type="dxa" w:w="2891"/>
          </w:tcPr>
          <w:p>
            <w:pPr>
              <w:spacing w:after="60" w:before="40" w:line="240" w:lineRule="auto"/>
            </w:pPr>
            <w:r>
              <w:rPr>
                <w:rFonts w:ascii="Liberation Sans" w:hAnsi="Liberation Sans"/>
                <w:b w:val="0"/>
                <w:sz w:val="18"/>
              </w:rPr>
              <w:t>D2 Justificante REGAGE26e00070235775</w:t>
            </w:r>
          </w:p>
        </w:tc>
        <w:tc>
          <w:tcPr>
            <w:tcW w:type="dxa" w:w="2551"/>
          </w:tcPr>
          <w:p>
            <w:pPr>
              <w:spacing w:after="60" w:before="40" w:line="240" w:lineRule="auto"/>
            </w:pPr>
            <w:r>
              <w:rPr>
                <w:rFonts w:ascii="Liberation Sans" w:hAnsi="Liberation Sans"/>
                <w:b w:val="0"/>
                <w:sz w:val="18"/>
              </w:rPr>
              <w:t>2026-08-02</w:t>
              <w:br/>
              <w:t>EG 745/2026</w:t>
            </w:r>
          </w:p>
        </w:tc>
        <w:tc>
          <w:tcPr>
            <w:tcW w:type="dxa" w:w="4252"/>
          </w:tcPr>
          <w:p>
            <w:pPr>
              <w:spacing w:after="60" w:before="40" w:line="240" w:lineRule="auto"/>
            </w:pPr>
            <w:r>
              <w:rPr>
                <w:rFonts w:ascii="Liberation Sans" w:hAnsi="Liberation Sans"/>
                <w:b w:val="0"/>
                <w:sz w:val="18"/>
              </w:rPr>
              <w:t>REGISTRO_DOCUMENTADO</w:t>
              <w:br/>
              <w:t>2 páginas; texto íntegro y SHA-512 cruzada</w:t>
            </w:r>
          </w:p>
        </w:tc>
        <w:tc>
          <w:tcPr>
            <w:tcW w:type="dxa" w:w="4876"/>
          </w:tcPr>
          <w:p>
            <w:pPr>
              <w:spacing w:after="60" w:before="40" w:line="240" w:lineRule="auto"/>
            </w:pPr>
            <w:r>
              <w:rPr>
                <w:rFonts w:ascii="Liberation Sans" w:hAnsi="Liberation Sans"/>
                <w:b w:val="0"/>
                <w:sz w:val="18"/>
              </w:rPr>
              <w:t>Recurso Primero; M01; I01</w:t>
              <w:br/>
              <w:t>Acredita presentación; no prueba examen por Inspección.</w:t>
            </w:r>
          </w:p>
        </w:tc>
      </w:tr>
      <w:tr>
        <w:trPr>
          <w:cantSplit/>
        </w:trPr>
        <w:tc>
          <w:tcPr>
            <w:tcW w:type="dxa" w:w="2891"/>
          </w:tcPr>
          <w:p>
            <w:pPr>
              <w:spacing w:after="60" w:before="40" w:line="240" w:lineRule="auto"/>
            </w:pPr>
            <w:r>
              <w:rPr>
                <w:rFonts w:ascii="Liberation Sans" w:hAnsi="Liberation Sans"/>
                <w:b w:val="0"/>
                <w:sz w:val="18"/>
              </w:rPr>
              <w:t>D3 Requerimiento fuente ocho paginas</w:t>
            </w:r>
          </w:p>
        </w:tc>
        <w:tc>
          <w:tcPr>
            <w:tcW w:type="dxa" w:w="2551"/>
          </w:tcPr>
          <w:p>
            <w:pPr>
              <w:spacing w:after="60" w:before="40" w:line="240" w:lineRule="auto"/>
            </w:pPr>
            <w:r>
              <w:rPr>
                <w:rFonts w:ascii="Liberation Sans" w:hAnsi="Liberation Sans"/>
                <w:b w:val="0"/>
                <w:sz w:val="18"/>
              </w:rPr>
              <w:t>2026-07-31 / firma 2026-08-02</w:t>
              <w:br/>
              <w:t>EG 745/2026</w:t>
            </w:r>
          </w:p>
        </w:tc>
        <w:tc>
          <w:tcPr>
            <w:tcW w:type="dxa" w:w="4252"/>
          </w:tcPr>
          <w:p>
            <w:pPr>
              <w:spacing w:after="60" w:before="40" w:line="240" w:lineRule="auto"/>
            </w:pPr>
            <w:r>
              <w:rPr>
                <w:rFonts w:ascii="Liberation Sans" w:hAnsi="Liberation Sans"/>
                <w:b w:val="0"/>
                <w:sz w:val="18"/>
              </w:rPr>
              <w:t>ESCRITO_DE_PARTE</w:t>
              <w:br/>
              <w:t>8 páginas; texto completo; contraste de huella con D2</w:t>
            </w:r>
          </w:p>
        </w:tc>
        <w:tc>
          <w:tcPr>
            <w:tcW w:type="dxa" w:w="4876"/>
          </w:tcPr>
          <w:p>
            <w:pPr>
              <w:spacing w:after="60" w:before="40" w:line="240" w:lineRule="auto"/>
            </w:pPr>
            <w:r>
              <w:rPr>
                <w:rFonts w:ascii="Liberation Sans" w:hAnsi="Liberation Sans"/>
                <w:b w:val="0"/>
                <w:sz w:val="18"/>
              </w:rPr>
              <w:t>Recurso Primero; M01; M03; M10; I01</w:t>
              <w:br/>
              <w:t>20 requerimientos del PDF distintos de las 12 peticiones del asiento.</w:t>
            </w:r>
          </w:p>
        </w:tc>
      </w:tr>
      <w:tr>
        <w:trPr>
          <w:cantSplit/>
        </w:trPr>
        <w:tc>
          <w:tcPr>
            <w:tcW w:type="dxa" w:w="2891"/>
          </w:tcPr>
          <w:p>
            <w:pPr>
              <w:spacing w:after="60" w:before="40" w:line="240" w:lineRule="auto"/>
            </w:pPr>
            <w:r>
              <w:rPr>
                <w:rFonts w:ascii="Liberation Sans" w:hAnsi="Liberation Sans"/>
                <w:b w:val="0"/>
                <w:sz w:val="18"/>
              </w:rPr>
              <w:t>D4 Decreto archivo DIP 2</w:t>
            </w:r>
          </w:p>
        </w:tc>
        <w:tc>
          <w:tcPr>
            <w:tcW w:type="dxa" w:w="2551"/>
          </w:tcPr>
          <w:p>
            <w:pPr>
              <w:spacing w:after="60" w:before="40" w:line="240" w:lineRule="auto"/>
            </w:pPr>
            <w:r>
              <w:rPr>
                <w:rFonts w:ascii="Liberation Sans" w:hAnsi="Liberation Sans"/>
                <w:b w:val="0"/>
                <w:sz w:val="18"/>
              </w:rPr>
              <w:t>2026-03-06</w:t>
              <w:br/>
              <w:t>DIP 2/2026</w:t>
            </w:r>
          </w:p>
        </w:tc>
        <w:tc>
          <w:tcPr>
            <w:tcW w:type="dxa" w:w="4252"/>
          </w:tcPr>
          <w:p>
            <w:pPr>
              <w:spacing w:after="60" w:before="40" w:line="240" w:lineRule="auto"/>
            </w:pPr>
            <w:r>
              <w:rPr>
                <w:rFonts w:ascii="Liberation Sans" w:hAnsi="Liberation Sans"/>
                <w:b w:val="0"/>
                <w:sz w:val="18"/>
              </w:rPr>
              <w:t>ACTO_DOCUMENTADO</w:t>
              <w:br/>
              <w:t>10 páginas; pasajes 3 y 9–10 y razones autónomas</w:t>
            </w:r>
          </w:p>
        </w:tc>
        <w:tc>
          <w:tcPr>
            <w:tcW w:type="dxa" w:w="4876"/>
          </w:tcPr>
          <w:p>
            <w:pPr>
              <w:spacing w:after="60" w:before="40" w:line="240" w:lineRule="auto"/>
            </w:pPr>
            <w:r>
              <w:rPr>
                <w:rFonts w:ascii="Liberation Sans" w:hAnsi="Liberation Sans"/>
                <w:b w:val="0"/>
                <w:sz w:val="18"/>
              </w:rPr>
              <w:t>Recurso Segundo; M02; I02</w:t>
              <w:br/>
              <w:t>Premisa de consulta fechada; no prueba falsedad intencional.</w:t>
            </w:r>
          </w:p>
        </w:tc>
      </w:tr>
      <w:tr>
        <w:trPr>
          <w:cantSplit/>
        </w:trPr>
        <w:tc>
          <w:tcPr>
            <w:tcW w:type="dxa" w:w="2891"/>
          </w:tcPr>
          <w:p>
            <w:pPr>
              <w:spacing w:after="60" w:before="40" w:line="240" w:lineRule="auto"/>
            </w:pPr>
            <w:r>
              <w:rPr>
                <w:rFonts w:ascii="Liberation Sans" w:hAnsi="Liberation Sans"/>
                <w:b w:val="0"/>
                <w:sz w:val="18"/>
              </w:rPr>
              <w:t>D5 Actualizacion apelacion 11MAR2026</w:t>
            </w:r>
          </w:p>
        </w:tc>
        <w:tc>
          <w:tcPr>
            <w:tcW w:type="dxa" w:w="2551"/>
          </w:tcPr>
          <w:p>
            <w:pPr>
              <w:spacing w:after="60" w:before="40" w:line="240" w:lineRule="auto"/>
            </w:pPr>
            <w:r>
              <w:rPr>
                <w:rFonts w:ascii="Liberation Sans" w:hAnsi="Liberation Sans"/>
                <w:b w:val="0"/>
                <w:sz w:val="18"/>
              </w:rPr>
              <w:t>2026-03-11</w:t>
              <w:br/>
              <w:t>DIP 2/2026</w:t>
            </w:r>
          </w:p>
        </w:tc>
        <w:tc>
          <w:tcPr>
            <w:tcW w:type="dxa" w:w="4252"/>
          </w:tcPr>
          <w:p>
            <w:pPr>
              <w:spacing w:after="60" w:before="40" w:line="240" w:lineRule="auto"/>
            </w:pPr>
            <w:r>
              <w:rPr>
                <w:rFonts w:ascii="Liberation Sans" w:hAnsi="Liberation Sans"/>
                <w:b w:val="0"/>
                <w:sz w:val="18"/>
              </w:rPr>
              <w:t>COMUNICACION_DE_PARTE</w:t>
              <w:br/>
              <w:t>4 páginas; original firmado, no equivale a acuse interno</w:t>
            </w:r>
          </w:p>
        </w:tc>
        <w:tc>
          <w:tcPr>
            <w:tcW w:type="dxa" w:w="4876"/>
          </w:tcPr>
          <w:p>
            <w:pPr>
              <w:spacing w:after="60" w:before="40" w:line="240" w:lineRule="auto"/>
            </w:pPr>
            <w:r>
              <w:rPr>
                <w:rFonts w:ascii="Liberation Sans" w:hAnsi="Liberation Sans"/>
                <w:b w:val="0"/>
                <w:sz w:val="18"/>
              </w:rPr>
              <w:t>Recurso Segundo; M02; I02</w:t>
              <w:br/>
              <w:t>La recepción y asignación efectiva deben cotejarse.</w:t>
            </w:r>
          </w:p>
        </w:tc>
      </w:tr>
      <w:tr>
        <w:trPr>
          <w:cantSplit/>
        </w:trPr>
        <w:tc>
          <w:tcPr>
            <w:tcW w:type="dxa" w:w="2891"/>
          </w:tcPr>
          <w:p>
            <w:pPr>
              <w:spacing w:after="60" w:before="40" w:line="240" w:lineRule="auto"/>
            </w:pPr>
            <w:r>
              <w:rPr>
                <w:rFonts w:ascii="Liberation Sans" w:hAnsi="Liberation Sans"/>
                <w:b w:val="0"/>
                <w:sz w:val="18"/>
              </w:rPr>
              <w:t>D6 Decreto 222 AP acumulacion</w:t>
            </w:r>
          </w:p>
        </w:tc>
        <w:tc>
          <w:tcPr>
            <w:tcW w:type="dxa" w:w="2551"/>
          </w:tcPr>
          <w:p>
            <w:pPr>
              <w:spacing w:after="60" w:before="40" w:line="240" w:lineRule="auto"/>
            </w:pPr>
            <w:r>
              <w:rPr>
                <w:rFonts w:ascii="Liberation Sans" w:hAnsi="Liberation Sans"/>
                <w:b w:val="0"/>
                <w:sz w:val="18"/>
              </w:rPr>
              <w:t>2026-09-01</w:t>
              <w:br/>
              <w:t>RPL 3319/2025 y RPL 3304/2025</w:t>
            </w:r>
          </w:p>
        </w:tc>
        <w:tc>
          <w:tcPr>
            <w:tcW w:type="dxa" w:w="4252"/>
          </w:tcPr>
          <w:p>
            <w:pPr>
              <w:spacing w:after="60" w:before="40" w:line="240" w:lineRule="auto"/>
            </w:pPr>
            <w:r>
              <w:rPr>
                <w:rFonts w:ascii="Liberation Sans" w:hAnsi="Liberation Sans"/>
                <w:b w:val="0"/>
                <w:sz w:val="18"/>
              </w:rPr>
              <w:t>ACTO_JUDICIAL_SOBREVENIDO</w:t>
              <w:br/>
              <w:t>2 páginas; texto íntegro</w:t>
            </w:r>
          </w:p>
        </w:tc>
        <w:tc>
          <w:tcPr>
            <w:tcW w:type="dxa" w:w="4876"/>
          </w:tcPr>
          <w:p>
            <w:pPr>
              <w:spacing w:after="60" w:before="40" w:line="240" w:lineRule="auto"/>
            </w:pPr>
            <w:r>
              <w:rPr>
                <w:rFonts w:ascii="Liberation Sans" w:hAnsi="Liberation Sans"/>
                <w:b w:val="0"/>
                <w:sz w:val="18"/>
              </w:rPr>
              <w:t>Recurso Segundo; M02; I02</w:t>
              <w:br/>
              <w:t>Posterior a EG 745; no acredita visibilidad en ATLANTE el 2 de marzo.</w:t>
            </w:r>
          </w:p>
        </w:tc>
      </w:tr>
      <w:tr>
        <w:trPr>
          <w:cantSplit/>
        </w:trPr>
        <w:tc>
          <w:tcPr>
            <w:tcW w:type="dxa" w:w="2891"/>
          </w:tcPr>
          <w:p>
            <w:pPr>
              <w:spacing w:after="60" w:before="40" w:line="240" w:lineRule="auto"/>
            </w:pPr>
            <w:r>
              <w:rPr>
                <w:rFonts w:ascii="Liberation Sans" w:hAnsi="Liberation Sans"/>
                <w:b w:val="0"/>
                <w:sz w:val="18"/>
              </w:rPr>
              <w:t>D7a DI 22 archivo</w:t>
            </w:r>
          </w:p>
        </w:tc>
        <w:tc>
          <w:tcPr>
            <w:tcW w:type="dxa" w:w="2551"/>
          </w:tcPr>
          <w:p>
            <w:pPr>
              <w:spacing w:after="60" w:before="40" w:line="240" w:lineRule="auto"/>
            </w:pPr>
            <w:r>
              <w:rPr>
                <w:rFonts w:ascii="Liberation Sans" w:hAnsi="Liberation Sans"/>
                <w:b w:val="0"/>
                <w:sz w:val="18"/>
              </w:rPr>
              <w:t>2026-02-11</w:t>
              <w:br/>
              <w:t>DI 22/2026</w:t>
            </w:r>
          </w:p>
        </w:tc>
        <w:tc>
          <w:tcPr>
            <w:tcW w:type="dxa" w:w="4252"/>
          </w:tcPr>
          <w:p>
            <w:pPr>
              <w:spacing w:after="60" w:before="40" w:line="240" w:lineRule="auto"/>
            </w:pPr>
            <w:r>
              <w:rPr>
                <w:rFonts w:ascii="Liberation Sans" w:hAnsi="Liberation Sans"/>
                <w:b w:val="0"/>
                <w:sz w:val="18"/>
              </w:rPr>
              <w:t>ACTO_DOCUMENTADO</w:t>
              <w:br/>
              <w:t>Copia completa del acto seleccionado</w:t>
            </w:r>
          </w:p>
        </w:tc>
        <w:tc>
          <w:tcPr>
            <w:tcW w:type="dxa" w:w="4876"/>
          </w:tcPr>
          <w:p>
            <w:pPr>
              <w:spacing w:after="60" w:before="40" w:line="240" w:lineRule="auto"/>
            </w:pPr>
            <w:r>
              <w:rPr>
                <w:rFonts w:ascii="Liberation Sans" w:hAnsi="Liberation Sans"/>
                <w:b w:val="0"/>
                <w:sz w:val="18"/>
              </w:rPr>
              <w:t>Recurso Tercero; M03; I03</w:t>
              <w:br/>
              <w:t>Selección de actos; no es el expediente íntegro.</w:t>
            </w:r>
          </w:p>
        </w:tc>
      </w:tr>
      <w:tr>
        <w:trPr>
          <w:cantSplit/>
        </w:trPr>
        <w:tc>
          <w:tcPr>
            <w:tcW w:type="dxa" w:w="2891"/>
          </w:tcPr>
          <w:p>
            <w:pPr>
              <w:spacing w:after="60" w:before="40" w:line="240" w:lineRule="auto"/>
            </w:pPr>
            <w:r>
              <w:rPr>
                <w:rFonts w:ascii="Liberation Sans" w:hAnsi="Liberation Sans"/>
                <w:b w:val="0"/>
                <w:sz w:val="18"/>
              </w:rPr>
              <w:t>D7b DI 22 incorporacion</w:t>
            </w:r>
          </w:p>
        </w:tc>
        <w:tc>
          <w:tcPr>
            <w:tcW w:type="dxa" w:w="2551"/>
          </w:tcPr>
          <w:p>
            <w:pPr>
              <w:spacing w:after="60" w:before="40" w:line="240" w:lineRule="auto"/>
            </w:pPr>
            <w:r>
              <w:rPr>
                <w:rFonts w:ascii="Liberation Sans" w:hAnsi="Liberation Sans"/>
                <w:b w:val="0"/>
                <w:sz w:val="18"/>
              </w:rPr>
              <w:t>2026-03-02</w:t>
              <w:br/>
              <w:t>DI 22/2026</w:t>
            </w:r>
          </w:p>
        </w:tc>
        <w:tc>
          <w:tcPr>
            <w:tcW w:type="dxa" w:w="4252"/>
          </w:tcPr>
          <w:p>
            <w:pPr>
              <w:spacing w:after="60" w:before="40" w:line="240" w:lineRule="auto"/>
            </w:pPr>
            <w:r>
              <w:rPr>
                <w:rFonts w:ascii="Liberation Sans" w:hAnsi="Liberation Sans"/>
                <w:b w:val="0"/>
                <w:sz w:val="18"/>
              </w:rPr>
              <w:t>ACTO_DOCUMENTADO</w:t>
              <w:br/>
              <w:t>Copia completa del acto seleccionado</w:t>
            </w:r>
          </w:p>
        </w:tc>
        <w:tc>
          <w:tcPr>
            <w:tcW w:type="dxa" w:w="4876"/>
          </w:tcPr>
          <w:p>
            <w:pPr>
              <w:spacing w:after="60" w:before="40" w:line="240" w:lineRule="auto"/>
            </w:pPr>
            <w:r>
              <w:rPr>
                <w:rFonts w:ascii="Liberation Sans" w:hAnsi="Liberation Sans"/>
                <w:b w:val="0"/>
                <w:sz w:val="18"/>
              </w:rPr>
              <w:t>Recurso Tercero; M03; I03</w:t>
              <w:br/>
              <w:t>Selección de actos; no es el expediente íntegro.</w:t>
            </w:r>
          </w:p>
        </w:tc>
      </w:tr>
      <w:tr>
        <w:trPr>
          <w:cantSplit/>
        </w:trPr>
        <w:tc>
          <w:tcPr>
            <w:tcW w:type="dxa" w:w="2891"/>
          </w:tcPr>
          <w:p>
            <w:pPr>
              <w:spacing w:after="60" w:before="40" w:line="240" w:lineRule="auto"/>
            </w:pPr>
            <w:r>
              <w:rPr>
                <w:rFonts w:ascii="Liberation Sans" w:hAnsi="Liberation Sans"/>
                <w:b w:val="0"/>
                <w:sz w:val="18"/>
              </w:rPr>
              <w:t>D7c DI 22 incorporacion</w:t>
            </w:r>
          </w:p>
        </w:tc>
        <w:tc>
          <w:tcPr>
            <w:tcW w:type="dxa" w:w="2551"/>
          </w:tcPr>
          <w:p>
            <w:pPr>
              <w:spacing w:after="60" w:before="40" w:line="240" w:lineRule="auto"/>
            </w:pPr>
            <w:r>
              <w:rPr>
                <w:rFonts w:ascii="Liberation Sans" w:hAnsi="Liberation Sans"/>
                <w:b w:val="0"/>
                <w:sz w:val="18"/>
              </w:rPr>
              <w:t>2026-03-03</w:t>
              <w:br/>
              <w:t>DI 22/2026</w:t>
            </w:r>
          </w:p>
        </w:tc>
        <w:tc>
          <w:tcPr>
            <w:tcW w:type="dxa" w:w="4252"/>
          </w:tcPr>
          <w:p>
            <w:pPr>
              <w:spacing w:after="60" w:before="40" w:line="240" w:lineRule="auto"/>
            </w:pPr>
            <w:r>
              <w:rPr>
                <w:rFonts w:ascii="Liberation Sans" w:hAnsi="Liberation Sans"/>
                <w:b w:val="0"/>
                <w:sz w:val="18"/>
              </w:rPr>
              <w:t>ACTO_DOCUMENTADO</w:t>
              <w:br/>
              <w:t>Copia completa del acto seleccionado</w:t>
            </w:r>
          </w:p>
        </w:tc>
        <w:tc>
          <w:tcPr>
            <w:tcW w:type="dxa" w:w="4876"/>
          </w:tcPr>
          <w:p>
            <w:pPr>
              <w:spacing w:after="60" w:before="40" w:line="240" w:lineRule="auto"/>
            </w:pPr>
            <w:r>
              <w:rPr>
                <w:rFonts w:ascii="Liberation Sans" w:hAnsi="Liberation Sans"/>
                <w:b w:val="0"/>
                <w:sz w:val="18"/>
              </w:rPr>
              <w:t>Recurso Tercero; M03; I03</w:t>
              <w:br/>
              <w:t>Selección de actos; no es el expediente íntegro.</w:t>
            </w:r>
          </w:p>
        </w:tc>
      </w:tr>
      <w:tr>
        <w:trPr>
          <w:cantSplit/>
        </w:trPr>
        <w:tc>
          <w:tcPr>
            <w:tcW w:type="dxa" w:w="2891"/>
          </w:tcPr>
          <w:p>
            <w:pPr>
              <w:spacing w:after="60" w:before="40" w:line="240" w:lineRule="auto"/>
            </w:pPr>
            <w:r>
              <w:rPr>
                <w:rFonts w:ascii="Liberation Sans" w:hAnsi="Liberation Sans"/>
                <w:b w:val="0"/>
                <w:sz w:val="18"/>
              </w:rPr>
              <w:t>D7d DI 22 judicializacion</w:t>
            </w:r>
          </w:p>
        </w:tc>
        <w:tc>
          <w:tcPr>
            <w:tcW w:type="dxa" w:w="2551"/>
          </w:tcPr>
          <w:p>
            <w:pPr>
              <w:spacing w:after="60" w:before="40" w:line="240" w:lineRule="auto"/>
            </w:pPr>
            <w:r>
              <w:rPr>
                <w:rFonts w:ascii="Liberation Sans" w:hAnsi="Liberation Sans"/>
                <w:b w:val="0"/>
                <w:sz w:val="18"/>
              </w:rPr>
              <w:t>2026-06-03</w:t>
              <w:br/>
              <w:t>DI 22/2026</w:t>
            </w:r>
          </w:p>
        </w:tc>
        <w:tc>
          <w:tcPr>
            <w:tcW w:type="dxa" w:w="4252"/>
          </w:tcPr>
          <w:p>
            <w:pPr>
              <w:spacing w:after="60" w:before="40" w:line="240" w:lineRule="auto"/>
            </w:pPr>
            <w:r>
              <w:rPr>
                <w:rFonts w:ascii="Liberation Sans" w:hAnsi="Liberation Sans"/>
                <w:b w:val="0"/>
                <w:sz w:val="18"/>
              </w:rPr>
              <w:t>ACTO_DOCUMENTADO</w:t>
              <w:br/>
              <w:t>Copia completa del acto seleccionado</w:t>
            </w:r>
          </w:p>
        </w:tc>
        <w:tc>
          <w:tcPr>
            <w:tcW w:type="dxa" w:w="4876"/>
          </w:tcPr>
          <w:p>
            <w:pPr>
              <w:spacing w:after="60" w:before="40" w:line="240" w:lineRule="auto"/>
            </w:pPr>
            <w:r>
              <w:rPr>
                <w:rFonts w:ascii="Liberation Sans" w:hAnsi="Liberation Sans"/>
                <w:b w:val="0"/>
                <w:sz w:val="18"/>
              </w:rPr>
              <w:t>Recurso Tercero; M03; I03</w:t>
              <w:br/>
              <w:t>Selección de actos; no es el expediente íntegro.</w:t>
            </w:r>
          </w:p>
        </w:tc>
      </w:tr>
      <w:tr>
        <w:trPr>
          <w:cantSplit/>
        </w:trPr>
        <w:tc>
          <w:tcPr>
            <w:tcW w:type="dxa" w:w="2891"/>
          </w:tcPr>
          <w:p>
            <w:pPr>
              <w:spacing w:after="60" w:before="40" w:line="240" w:lineRule="auto"/>
            </w:pPr>
            <w:r>
              <w:rPr>
                <w:rFonts w:ascii="Liberation Sans" w:hAnsi="Liberation Sans"/>
                <w:b w:val="0"/>
                <w:sz w:val="18"/>
              </w:rPr>
              <w:t>D8 Comunicacion traslado Inspeccion</w:t>
            </w:r>
          </w:p>
        </w:tc>
        <w:tc>
          <w:tcPr>
            <w:tcW w:type="dxa" w:w="2551"/>
          </w:tcPr>
          <w:p>
            <w:pPr>
              <w:spacing w:after="60" w:before="40" w:line="240" w:lineRule="auto"/>
            </w:pPr>
            <w:r>
              <w:rPr>
                <w:rFonts w:ascii="Liberation Sans" w:hAnsi="Liberation Sans"/>
                <w:b w:val="0"/>
                <w:sz w:val="18"/>
              </w:rPr>
              <w:t>2026-08-20</w:t>
              <w:br/>
              <w:t>EG 745/2026</w:t>
            </w:r>
          </w:p>
        </w:tc>
        <w:tc>
          <w:tcPr>
            <w:tcW w:type="dxa" w:w="4252"/>
          </w:tcPr>
          <w:p>
            <w:pPr>
              <w:spacing w:after="60" w:before="40" w:line="240" w:lineRule="auto"/>
            </w:pPr>
            <w:r>
              <w:rPr>
                <w:rFonts w:ascii="Liberation Sans" w:hAnsi="Liberation Sans"/>
                <w:b w:val="0"/>
                <w:sz w:val="18"/>
              </w:rPr>
              <w:t>CORREO_NATIVO</w:t>
              <w:br/>
              <w:t>MIME conservado; reproducción previa en volumen D1–D9</w:t>
            </w:r>
          </w:p>
        </w:tc>
        <w:tc>
          <w:tcPr>
            <w:tcW w:type="dxa" w:w="4876"/>
          </w:tcPr>
          <w:p>
            <w:pPr>
              <w:spacing w:after="60" w:before="40" w:line="240" w:lineRule="auto"/>
            </w:pPr>
            <w:r>
              <w:rPr>
                <w:rFonts w:ascii="Liberation Sans" w:hAnsi="Liberation Sans"/>
                <w:b w:val="0"/>
                <w:sz w:val="18"/>
              </w:rPr>
              <w:t>Recurso Primero; M01; I01</w:t>
              <w:br/>
              <w:t>Envío no equivale a incorporación o lectura.</w:t>
            </w:r>
          </w:p>
        </w:tc>
      </w:tr>
      <w:tr>
        <w:trPr>
          <w:cantSplit/>
        </w:trPr>
        <w:tc>
          <w:tcPr>
            <w:tcW w:type="dxa" w:w="2891"/>
          </w:tcPr>
          <w:p>
            <w:pPr>
              <w:spacing w:after="60" w:before="40" w:line="240" w:lineRule="auto"/>
            </w:pPr>
            <w:r>
              <w:rPr>
                <w:rFonts w:ascii="Liberation Sans" w:hAnsi="Liberation Sans"/>
                <w:b w:val="0"/>
                <w:sz w:val="18"/>
              </w:rPr>
              <w:t>D9 Acuse Secretaria Tecnica</w:t>
            </w:r>
          </w:p>
        </w:tc>
        <w:tc>
          <w:tcPr>
            <w:tcW w:type="dxa" w:w="2551"/>
          </w:tcPr>
          <w:p>
            <w:pPr>
              <w:spacing w:after="60" w:before="40" w:line="240" w:lineRule="auto"/>
            </w:pPr>
            <w:r>
              <w:rPr>
                <w:rFonts w:ascii="Liberation Sans" w:hAnsi="Liberation Sans"/>
                <w:b w:val="0"/>
                <w:sz w:val="18"/>
              </w:rPr>
              <w:t>2026-08-21</w:t>
              <w:br/>
              <w:t>EG 745/2026</w:t>
            </w:r>
          </w:p>
        </w:tc>
        <w:tc>
          <w:tcPr>
            <w:tcW w:type="dxa" w:w="4252"/>
          </w:tcPr>
          <w:p>
            <w:pPr>
              <w:spacing w:after="60" w:before="40" w:line="240" w:lineRule="auto"/>
            </w:pPr>
            <w:r>
              <w:rPr>
                <w:rFonts w:ascii="Liberation Sans" w:hAnsi="Liberation Sans"/>
                <w:b w:val="0"/>
                <w:sz w:val="18"/>
              </w:rPr>
              <w:t>CORREO_NATIVO</w:t>
              <w:br/>
              <w:t>MIME conservado; reproducción previa en volumen D1–D9</w:t>
            </w:r>
          </w:p>
        </w:tc>
        <w:tc>
          <w:tcPr>
            <w:tcW w:type="dxa" w:w="4876"/>
          </w:tcPr>
          <w:p>
            <w:pPr>
              <w:spacing w:after="60" w:before="40" w:line="240" w:lineRule="auto"/>
            </w:pPr>
            <w:r>
              <w:rPr>
                <w:rFonts w:ascii="Liberation Sans" w:hAnsi="Liberation Sans"/>
                <w:b w:val="0"/>
                <w:sz w:val="18"/>
              </w:rPr>
              <w:t>Recurso Primero; M01; I01</w:t>
              <w:br/>
              <w:t>Acuse central, no conocimiento de fiscal concreto.</w:t>
            </w:r>
          </w:p>
        </w:tc>
      </w:tr>
      <w:tr>
        <w:trPr>
          <w:cantSplit/>
        </w:trPr>
        <w:tc>
          <w:tcPr>
            <w:tcW w:type="dxa" w:w="2891"/>
          </w:tcPr>
          <w:p>
            <w:pPr>
              <w:spacing w:after="60" w:before="40" w:line="240" w:lineRule="auto"/>
            </w:pPr>
            <w:r>
              <w:rPr>
                <w:rFonts w:ascii="Liberation Sans" w:hAnsi="Liberation Sans"/>
                <w:b w:val="0"/>
                <w:sz w:val="18"/>
              </w:rPr>
              <w:t>D10 DI 248 decreto y notificacion</w:t>
            </w:r>
          </w:p>
        </w:tc>
        <w:tc>
          <w:tcPr>
            <w:tcW w:type="dxa" w:w="2551"/>
          </w:tcPr>
          <w:p>
            <w:pPr>
              <w:spacing w:after="60" w:before="40" w:line="240" w:lineRule="auto"/>
            </w:pPr>
            <w:r>
              <w:rPr>
                <w:rFonts w:ascii="Liberation Sans" w:hAnsi="Liberation Sans"/>
                <w:b w:val="0"/>
                <w:sz w:val="18"/>
              </w:rPr>
              <w:t>Decreto 2019-05-07 / oficio 2019-05-16</w:t>
              <w:br/>
              <w:t>DI 248/2018</w:t>
            </w:r>
          </w:p>
        </w:tc>
        <w:tc>
          <w:tcPr>
            <w:tcW w:type="dxa" w:w="4252"/>
          </w:tcPr>
          <w:p>
            <w:pPr>
              <w:spacing w:after="60" w:before="40" w:line="240" w:lineRule="auto"/>
            </w:pPr>
            <w:r>
              <w:rPr>
                <w:rFonts w:ascii="Liberation Sans" w:hAnsi="Liberation Sans"/>
                <w:b w:val="0"/>
                <w:sz w:val="18"/>
              </w:rPr>
              <w:t>ACTO_DOCUMENTADO</w:t>
              <w:br/>
              <w:t>4 páginas; visual de pasajes y contexto completo</w:t>
            </w:r>
          </w:p>
        </w:tc>
        <w:tc>
          <w:tcPr>
            <w:tcW w:type="dxa" w:w="4876"/>
          </w:tcPr>
          <w:p>
            <w:pPr>
              <w:spacing w:after="60" w:before="40" w:line="240" w:lineRule="auto"/>
            </w:pPr>
            <w:r>
              <w:rPr>
                <w:rFonts w:ascii="Liberation Sans" w:hAnsi="Liberation Sans"/>
                <w:b w:val="0"/>
                <w:sz w:val="18"/>
              </w:rPr>
              <w:t>Recurso Cuarto; Recurso Quinto; Recurso Sexto; M04; M06; I04; I05</w:t>
              <w:br/>
              <w:t>Copia anotada con subrayados; fecha de recepción literal errónea 17-10-2019.</w:t>
            </w:r>
          </w:p>
        </w:tc>
      </w:tr>
      <w:tr>
        <w:trPr>
          <w:cantSplit/>
        </w:trPr>
        <w:tc>
          <w:tcPr>
            <w:tcW w:type="dxa" w:w="2891"/>
          </w:tcPr>
          <w:p>
            <w:pPr>
              <w:spacing w:after="60" w:before="40" w:line="240" w:lineRule="auto"/>
            </w:pPr>
            <w:r>
              <w:rPr>
                <w:rFonts w:ascii="Liberation Sans" w:hAnsi="Liberation Sans"/>
                <w:b w:val="0"/>
                <w:sz w:val="18"/>
              </w:rPr>
              <w:t>D11 Informe fiscal calificacion</w:t>
            </w:r>
          </w:p>
        </w:tc>
        <w:tc>
          <w:tcPr>
            <w:tcW w:type="dxa" w:w="2551"/>
          </w:tcPr>
          <w:p>
            <w:pPr>
              <w:spacing w:after="60" w:before="40" w:line="240" w:lineRule="auto"/>
            </w:pPr>
            <w:r>
              <w:rPr>
                <w:rFonts w:ascii="Liberation Sans" w:hAnsi="Liberation Sans"/>
                <w:b w:val="0"/>
                <w:sz w:val="18"/>
              </w:rPr>
              <w:t>2019-03-12</w:t>
              <w:br/>
              <w:t>Concurso 36/2012 sección sexta</w:t>
            </w:r>
          </w:p>
        </w:tc>
        <w:tc>
          <w:tcPr>
            <w:tcW w:type="dxa" w:w="4252"/>
          </w:tcPr>
          <w:p>
            <w:pPr>
              <w:spacing w:after="60" w:before="40" w:line="240" w:lineRule="auto"/>
            </w:pPr>
            <w:r>
              <w:rPr>
                <w:rFonts w:ascii="Liberation Sans" w:hAnsi="Liberation Sans"/>
                <w:b w:val="0"/>
                <w:sz w:val="18"/>
              </w:rPr>
              <w:t>POSICION_PROCESAL_DOCUMENTADA</w:t>
              <w:br/>
              <w:t>2 páginas completas; informe acusatorio, no sentencia</w:t>
            </w:r>
          </w:p>
        </w:tc>
        <w:tc>
          <w:tcPr>
            <w:tcW w:type="dxa" w:w="4876"/>
          </w:tcPr>
          <w:p>
            <w:pPr>
              <w:spacing w:after="60" w:before="40" w:line="240" w:lineRule="auto"/>
            </w:pPr>
            <w:r>
              <w:rPr>
                <w:rFonts w:ascii="Liberation Sans" w:hAnsi="Liberation Sans"/>
                <w:b w:val="0"/>
                <w:sz w:val="18"/>
              </w:rPr>
              <w:t>Recurso Sexto; M06; I04</w:t>
              <w:br/>
              <w:t>No atribuir DI 248 a su firmante; error literal administrador concursal no es admisión de responsabilidad de AC.</w:t>
            </w:r>
          </w:p>
        </w:tc>
      </w:tr>
      <w:tr>
        <w:trPr>
          <w:cantSplit/>
        </w:trPr>
        <w:tc>
          <w:tcPr>
            <w:tcW w:type="dxa" w:w="2891"/>
          </w:tcPr>
          <w:p>
            <w:pPr>
              <w:spacing w:after="60" w:before="40" w:line="240" w:lineRule="auto"/>
            </w:pPr>
            <w:r>
              <w:rPr>
                <w:rFonts w:ascii="Liberation Sans" w:hAnsi="Liberation Sans"/>
                <w:b w:val="0"/>
                <w:sz w:val="18"/>
              </w:rPr>
              <w:t>D12 Denuncia fiscalia septiembre 2018</w:t>
            </w:r>
          </w:p>
        </w:tc>
        <w:tc>
          <w:tcPr>
            <w:tcW w:type="dxa" w:w="2551"/>
          </w:tcPr>
          <w:p>
            <w:pPr>
              <w:spacing w:after="60" w:before="40" w:line="240" w:lineRule="auto"/>
            </w:pPr>
            <w:r>
              <w:rPr>
                <w:rFonts w:ascii="Liberation Sans" w:hAnsi="Liberation Sans"/>
                <w:b w:val="0"/>
                <w:sz w:val="18"/>
              </w:rPr>
              <w:t>2018-09-12 / entrada por cotejar</w:t>
              <w:br/>
              <w:t>DI 248/2018</w:t>
            </w:r>
          </w:p>
        </w:tc>
        <w:tc>
          <w:tcPr>
            <w:tcW w:type="dxa" w:w="4252"/>
          </w:tcPr>
          <w:p>
            <w:pPr>
              <w:spacing w:after="60" w:before="40" w:line="240" w:lineRule="auto"/>
            </w:pPr>
            <w:r>
              <w:rPr>
                <w:rFonts w:ascii="Liberation Sans" w:hAnsi="Liberation Sans"/>
                <w:b w:val="0"/>
                <w:sz w:val="18"/>
              </w:rPr>
              <w:t>ALEGACION_CONTEMPORANEA</w:t>
              <w:br/>
              <w:t>22 páginas del cuerpo; anexos citados no íntegros</w:t>
            </w:r>
          </w:p>
        </w:tc>
        <w:tc>
          <w:tcPr>
            <w:tcW w:type="dxa" w:w="4876"/>
          </w:tcPr>
          <w:p>
            <w:pPr>
              <w:spacing w:after="60" w:before="40" w:line="240" w:lineRule="auto"/>
            </w:pPr>
            <w:r>
              <w:rPr>
                <w:rFonts w:ascii="Liberation Sans" w:hAnsi="Liberation Sans"/>
                <w:b w:val="0"/>
                <w:sz w:val="18"/>
              </w:rPr>
              <w:t>Recurso Cuarto; M04; M05; I04; P02</w:t>
              <w:br/>
              <w:t>Prueba qué se alegó; no prueba por sí sola cada hecho.</w:t>
            </w:r>
          </w:p>
        </w:tc>
      </w:tr>
      <w:tr>
        <w:trPr>
          <w:cantSplit/>
        </w:trPr>
        <w:tc>
          <w:tcPr>
            <w:tcW w:type="dxa" w:w="2891"/>
          </w:tcPr>
          <w:p>
            <w:pPr>
              <w:spacing w:after="60" w:before="40" w:line="240" w:lineRule="auto"/>
            </w:pPr>
            <w:r>
              <w:rPr>
                <w:rFonts w:ascii="Liberation Sans" w:hAnsi="Liberation Sans"/>
                <w:b w:val="0"/>
                <w:sz w:val="18"/>
              </w:rPr>
              <w:t>D13 Ampliacion enero 2019</w:t>
            </w:r>
          </w:p>
        </w:tc>
        <w:tc>
          <w:tcPr>
            <w:tcW w:type="dxa" w:w="2551"/>
          </w:tcPr>
          <w:p>
            <w:pPr>
              <w:spacing w:after="60" w:before="40" w:line="240" w:lineRule="auto"/>
            </w:pPr>
            <w:r>
              <w:rPr>
                <w:rFonts w:ascii="Liberation Sans" w:hAnsi="Liberation Sans"/>
                <w:b w:val="0"/>
                <w:sz w:val="18"/>
              </w:rPr>
              <w:t>2019-01-14 / decreto refiere aportación 15-01</w:t>
              <w:br/>
              <w:t>DI 248/2018</w:t>
            </w:r>
          </w:p>
        </w:tc>
        <w:tc>
          <w:tcPr>
            <w:tcW w:type="dxa" w:w="4252"/>
          </w:tcPr>
          <w:p>
            <w:pPr>
              <w:spacing w:after="60" w:before="40" w:line="240" w:lineRule="auto"/>
            </w:pPr>
            <w:r>
              <w:rPr>
                <w:rFonts w:ascii="Liberation Sans" w:hAnsi="Liberation Sans"/>
                <w:b w:val="0"/>
                <w:sz w:val="18"/>
              </w:rPr>
              <w:t>ALEGACION_CONTEMPORANEA</w:t>
              <w:br/>
              <w:t>12 páginas; recibo y anexos pendientes de emparejar</w:t>
            </w:r>
          </w:p>
        </w:tc>
        <w:tc>
          <w:tcPr>
            <w:tcW w:type="dxa" w:w="4876"/>
          </w:tcPr>
          <w:p>
            <w:pPr>
              <w:spacing w:after="60" w:before="40" w:line="240" w:lineRule="auto"/>
            </w:pPr>
            <w:r>
              <w:rPr>
                <w:rFonts w:ascii="Liberation Sans" w:hAnsi="Liberation Sans"/>
                <w:b w:val="0"/>
                <w:sz w:val="18"/>
              </w:rPr>
              <w:t>Recurso Cuarto; Recurso Septimo; M04; M07; M08; I04</w:t>
              <w:br/>
              <w:t>Distinguir escrito de su fecha de presentación.</w:t>
            </w:r>
          </w:p>
        </w:tc>
      </w:tr>
      <w:tr>
        <w:trPr>
          <w:cantSplit/>
        </w:trPr>
        <w:tc>
          <w:tcPr>
            <w:tcW w:type="dxa" w:w="2891"/>
          </w:tcPr>
          <w:p>
            <w:pPr>
              <w:spacing w:after="60" w:before="40" w:line="240" w:lineRule="auto"/>
            </w:pPr>
            <w:r>
              <w:rPr>
                <w:rFonts w:ascii="Liberation Sans" w:hAnsi="Liberation Sans"/>
                <w:b w:val="0"/>
                <w:sz w:val="18"/>
              </w:rPr>
              <w:t>D14 Nuevas pruebas febrero 2019</w:t>
            </w:r>
          </w:p>
        </w:tc>
        <w:tc>
          <w:tcPr>
            <w:tcW w:type="dxa" w:w="2551"/>
          </w:tcPr>
          <w:p>
            <w:pPr>
              <w:spacing w:after="60" w:before="40" w:line="240" w:lineRule="auto"/>
            </w:pPr>
            <w:r>
              <w:rPr>
                <w:rFonts w:ascii="Liberation Sans" w:hAnsi="Liberation Sans"/>
                <w:b w:val="0"/>
                <w:sz w:val="18"/>
              </w:rPr>
              <w:t>2019-02-06 / firma 2019-02-07</w:t>
              <w:br/>
              <w:t>DI 248/2018</w:t>
            </w:r>
          </w:p>
        </w:tc>
        <w:tc>
          <w:tcPr>
            <w:tcW w:type="dxa" w:w="4252"/>
          </w:tcPr>
          <w:p>
            <w:pPr>
              <w:spacing w:after="60" w:before="40" w:line="240" w:lineRule="auto"/>
            </w:pPr>
            <w:r>
              <w:rPr>
                <w:rFonts w:ascii="Liberation Sans" w:hAnsi="Liberation Sans"/>
                <w:b w:val="0"/>
                <w:sz w:val="18"/>
              </w:rPr>
              <w:t>ALEGACION_CONTEMPORANEA</w:t>
              <w:br/>
              <w:t>5 páginas; documentos promocionales referidos</w:t>
            </w:r>
          </w:p>
        </w:tc>
        <w:tc>
          <w:tcPr>
            <w:tcW w:type="dxa" w:w="4876"/>
          </w:tcPr>
          <w:p>
            <w:pPr>
              <w:spacing w:after="60" w:before="40" w:line="240" w:lineRule="auto"/>
            </w:pPr>
            <w:r>
              <w:rPr>
                <w:rFonts w:ascii="Liberation Sans" w:hAnsi="Liberation Sans"/>
                <w:b w:val="0"/>
                <w:sz w:val="18"/>
              </w:rPr>
              <w:t>Recurso Cuarto; M04; M09; I04</w:t>
              <w:br/>
              <w:t>Aportación efectiva y anuncios originales por cotejar.</w:t>
            </w:r>
          </w:p>
        </w:tc>
      </w:tr>
      <w:tr>
        <w:trPr>
          <w:cantSplit/>
        </w:trPr>
        <w:tc>
          <w:tcPr>
            <w:tcW w:type="dxa" w:w="2891"/>
          </w:tcPr>
          <w:p>
            <w:pPr>
              <w:spacing w:after="60" w:before="40" w:line="240" w:lineRule="auto"/>
            </w:pPr>
            <w:r>
              <w:rPr>
                <w:rFonts w:ascii="Liberation Sans" w:hAnsi="Liberation Sans"/>
                <w:b w:val="0"/>
                <w:sz w:val="18"/>
              </w:rPr>
              <w:t>D15 Auto 804 Rollo 1010 DP 1132</w:t>
            </w:r>
          </w:p>
        </w:tc>
        <w:tc>
          <w:tcPr>
            <w:tcW w:type="dxa" w:w="2551"/>
          </w:tcPr>
          <w:p>
            <w:pPr>
              <w:spacing w:after="60" w:before="40" w:line="240" w:lineRule="auto"/>
            </w:pPr>
            <w:r>
              <w:rPr>
                <w:rFonts w:ascii="Liberation Sans" w:hAnsi="Liberation Sans"/>
                <w:b w:val="0"/>
                <w:sz w:val="18"/>
              </w:rPr>
              <w:t>2018-11-13</w:t>
              <w:br/>
              <w:t>DP 1132/2018 → Rollo 1010/2018</w:t>
            </w:r>
          </w:p>
        </w:tc>
        <w:tc>
          <w:tcPr>
            <w:tcW w:type="dxa" w:w="4252"/>
          </w:tcPr>
          <w:p>
            <w:pPr>
              <w:spacing w:after="60" w:before="40" w:line="240" w:lineRule="auto"/>
            </w:pPr>
            <w:r>
              <w:rPr>
                <w:rFonts w:ascii="Liberation Sans" w:hAnsi="Liberation Sans"/>
                <w:b w:val="0"/>
                <w:sz w:val="18"/>
              </w:rPr>
              <w:t>RESOLUCION_ADVERSA</w:t>
              <w:br/>
              <w:t>6 páginas completas; fundamentos y archivo provisional</w:t>
            </w:r>
          </w:p>
        </w:tc>
        <w:tc>
          <w:tcPr>
            <w:tcW w:type="dxa" w:w="4876"/>
          </w:tcPr>
          <w:p>
            <w:pPr>
              <w:spacing w:after="60" w:before="40" w:line="240" w:lineRule="auto"/>
            </w:pPr>
            <w:r>
              <w:rPr>
                <w:rFonts w:ascii="Liberation Sans" w:hAnsi="Liberation Sans"/>
                <w:b w:val="0"/>
                <w:sz w:val="18"/>
              </w:rPr>
              <w:t>Recurso Quinto; M05; I03; P02; P03</w:t>
              <w:br/>
              <w:t>No recurso contra este auto según pie; sobreseimiento provisional, no habilitación general de todos los actos.</w:t>
            </w:r>
          </w:p>
        </w:tc>
      </w:tr>
      <w:tr>
        <w:trPr>
          <w:cantSplit/>
        </w:trPr>
        <w:tc>
          <w:tcPr>
            <w:tcW w:type="dxa" w:w="2891"/>
          </w:tcPr>
          <w:p>
            <w:pPr>
              <w:spacing w:after="60" w:before="40" w:line="240" w:lineRule="auto"/>
            </w:pPr>
            <w:r>
              <w:rPr>
                <w:rFonts w:ascii="Liberation Sans" w:hAnsi="Liberation Sans"/>
                <w:b w:val="0"/>
                <w:sz w:val="18"/>
              </w:rPr>
              <w:t>D16 Declaracion AC 31JUL2018</w:t>
            </w:r>
          </w:p>
        </w:tc>
        <w:tc>
          <w:tcPr>
            <w:tcW w:type="dxa" w:w="2551"/>
          </w:tcPr>
          <w:p>
            <w:pPr>
              <w:spacing w:after="60" w:before="40" w:line="240" w:lineRule="auto"/>
            </w:pPr>
            <w:r>
              <w:rPr>
                <w:rFonts w:ascii="Liberation Sans" w:hAnsi="Liberation Sans"/>
                <w:b w:val="0"/>
                <w:sz w:val="18"/>
              </w:rPr>
              <w:t>2018-07-31</w:t>
              <w:br/>
              <w:t>DP 1132/2018</w:t>
            </w:r>
          </w:p>
        </w:tc>
        <w:tc>
          <w:tcPr>
            <w:tcW w:type="dxa" w:w="4252"/>
          </w:tcPr>
          <w:p>
            <w:pPr>
              <w:spacing w:after="60" w:before="40" w:line="240" w:lineRule="auto"/>
            </w:pPr>
            <w:r>
              <w:rPr>
                <w:rFonts w:ascii="Liberation Sans" w:hAnsi="Liberation Sans"/>
                <w:b w:val="0"/>
                <w:sz w:val="18"/>
              </w:rPr>
              <w:t>TESTIMONIO_DOCUMENTADO</w:t>
              <w:br/>
              <w:t>11 páginas; OCR de apoyo, cotejo focal pp. 3, 7 y 10</w:t>
            </w:r>
          </w:p>
        </w:tc>
        <w:tc>
          <w:tcPr>
            <w:tcW w:type="dxa" w:w="4876"/>
          </w:tcPr>
          <w:p>
            <w:pPr>
              <w:spacing w:after="60" w:before="40" w:line="240" w:lineRule="auto"/>
            </w:pPr>
            <w:r>
              <w:rPr>
                <w:rFonts w:ascii="Liberation Sans" w:hAnsi="Liberation Sans"/>
                <w:b w:val="0"/>
                <w:sz w:val="18"/>
              </w:rPr>
              <w:t>Recurso Cuarto; M04; M05; P02; P08</w:t>
              <w:br/>
              <w:t>Lo declarado debe distinguirse del hecho probado; originales del permiso no adjuntos a esta copia.</w:t>
            </w:r>
          </w:p>
        </w:tc>
      </w:tr>
      <w:tr>
        <w:trPr>
          <w:cantSplit/>
        </w:trPr>
        <w:tc>
          <w:tcPr>
            <w:tcW w:type="dxa" w:w="2891"/>
          </w:tcPr>
          <w:p>
            <w:pPr>
              <w:spacing w:after="60" w:before="40" w:line="240" w:lineRule="auto"/>
            </w:pPr>
            <w:r>
              <w:rPr>
                <w:rFonts w:ascii="Liberation Sans" w:hAnsi="Liberation Sans"/>
                <w:b w:val="0"/>
                <w:sz w:val="18"/>
              </w:rPr>
              <w:t>D17 Declaraciones y acta comunitaria</w:t>
            </w:r>
          </w:p>
        </w:tc>
        <w:tc>
          <w:tcPr>
            <w:tcW w:type="dxa" w:w="2551"/>
          </w:tcPr>
          <w:p>
            <w:pPr>
              <w:spacing w:after="60" w:before="40" w:line="240" w:lineRule="auto"/>
            </w:pPr>
            <w:r>
              <w:rPr>
                <w:rFonts w:ascii="Liberation Sans" w:hAnsi="Liberation Sans"/>
                <w:b w:val="0"/>
                <w:sz w:val="18"/>
              </w:rPr>
              <w:t>2018-06-25 / acta 2018-05-18</w:t>
              <w:br/>
              <w:t>DP 1132/2018</w:t>
            </w:r>
          </w:p>
        </w:tc>
        <w:tc>
          <w:tcPr>
            <w:tcW w:type="dxa" w:w="4252"/>
          </w:tcPr>
          <w:p>
            <w:pPr>
              <w:spacing w:after="60" w:before="40" w:line="240" w:lineRule="auto"/>
            </w:pPr>
            <w:r>
              <w:rPr>
                <w:rFonts w:ascii="Liberation Sans" w:hAnsi="Liberation Sans"/>
                <w:b w:val="0"/>
                <w:sz w:val="18"/>
              </w:rPr>
              <w:t>TESTIMONIOS_Y_DOCUMENTACION</w:t>
              <w:br/>
              <w:t>32 páginas conservadas; lectura focal; acta no equivale a validez de acuerdos</w:t>
            </w:r>
          </w:p>
        </w:tc>
        <w:tc>
          <w:tcPr>
            <w:tcW w:type="dxa" w:w="4876"/>
          </w:tcPr>
          <w:p>
            <w:pPr>
              <w:spacing w:after="60" w:before="40" w:line="240" w:lineRule="auto"/>
            </w:pPr>
            <w:r>
              <w:rPr>
                <w:rFonts w:ascii="Liberation Sans" w:hAnsi="Liberation Sans"/>
                <w:b w:val="0"/>
                <w:sz w:val="18"/>
              </w:rPr>
              <w:t>M05; P02; P08</w:t>
              <w:br/>
              <w:t>Cada manifestación es atribuida; censo, poderes y convocatoria completos por cotejar.</w:t>
            </w:r>
          </w:p>
        </w:tc>
      </w:tr>
      <w:tr>
        <w:trPr>
          <w:cantSplit/>
        </w:trPr>
        <w:tc>
          <w:tcPr>
            <w:tcW w:type="dxa" w:w="2891"/>
          </w:tcPr>
          <w:p>
            <w:pPr>
              <w:spacing w:after="60" w:before="40" w:line="240" w:lineRule="auto"/>
            </w:pPr>
            <w:r>
              <w:rPr>
                <w:rFonts w:ascii="Liberation Sans" w:hAnsi="Liberation Sans"/>
                <w:b w:val="0"/>
                <w:sz w:val="18"/>
              </w:rPr>
              <w:t>D18 Propuesta Plan Liquidacion LPB</w:t>
            </w:r>
          </w:p>
        </w:tc>
        <w:tc>
          <w:tcPr>
            <w:tcW w:type="dxa" w:w="2551"/>
          </w:tcPr>
          <w:p>
            <w:pPr>
              <w:spacing w:after="60" w:before="40" w:line="240" w:lineRule="auto"/>
            </w:pPr>
            <w:r>
              <w:rPr>
                <w:rFonts w:ascii="Liberation Sans" w:hAnsi="Liberation Sans"/>
                <w:b w:val="0"/>
                <w:sz w:val="18"/>
              </w:rPr>
              <w:t>2018; registro canónico 18-01 / nombre del archivo 09-02</w:t>
              <w:br/>
              <w:t>Concurso 36/2012</w:t>
            </w:r>
          </w:p>
        </w:tc>
        <w:tc>
          <w:tcPr>
            <w:tcW w:type="dxa" w:w="4252"/>
          </w:tcPr>
          <w:p>
            <w:pPr>
              <w:spacing w:after="60" w:before="40" w:line="240" w:lineRule="auto"/>
            </w:pPr>
            <w:r>
              <w:rPr>
                <w:rFonts w:ascii="Liberation Sans" w:hAnsi="Liberation Sans"/>
                <w:b w:val="0"/>
                <w:sz w:val="18"/>
              </w:rPr>
              <w:t>PROPUESTA_AC</w:t>
              <w:br/>
              <w:t>15 páginas; cuerpo e inventario; anexos no completos</w:t>
            </w:r>
          </w:p>
        </w:tc>
        <w:tc>
          <w:tcPr>
            <w:tcW w:type="dxa" w:w="4876"/>
          </w:tcPr>
          <w:p>
            <w:pPr>
              <w:spacing w:after="60" w:before="40" w:line="240" w:lineRule="auto"/>
            </w:pPr>
            <w:r>
              <w:rPr>
                <w:rFonts w:ascii="Liberation Sans" w:hAnsi="Liberation Sans"/>
                <w:b w:val="0"/>
                <w:sz w:val="18"/>
              </w:rPr>
              <w:t>Recurso Quinto; M04; P01</w:t>
              <w:br/>
              <w:t>Huella coincide con CAM-TRX-03; no inferir fecha de registro del nombre de archivo.</w:t>
            </w:r>
          </w:p>
        </w:tc>
      </w:tr>
      <w:tr>
        <w:trPr>
          <w:cantSplit/>
        </w:trPr>
        <w:tc>
          <w:tcPr>
            <w:tcW w:type="dxa" w:w="2891"/>
          </w:tcPr>
          <w:p>
            <w:pPr>
              <w:spacing w:after="60" w:before="40" w:line="240" w:lineRule="auto"/>
            </w:pPr>
            <w:r>
              <w:rPr>
                <w:rFonts w:ascii="Liberation Sans" w:hAnsi="Liberation Sans"/>
                <w:b w:val="0"/>
                <w:sz w:val="18"/>
              </w:rPr>
              <w:t>D19 Auto no convalidacion locales</w:t>
            </w:r>
          </w:p>
        </w:tc>
        <w:tc>
          <w:tcPr>
            <w:tcW w:type="dxa" w:w="2551"/>
          </w:tcPr>
          <w:p>
            <w:pPr>
              <w:spacing w:after="60" w:before="40" w:line="240" w:lineRule="auto"/>
            </w:pPr>
            <w:r>
              <w:rPr>
                <w:rFonts w:ascii="Liberation Sans" w:hAnsi="Liberation Sans"/>
                <w:b w:val="0"/>
                <w:sz w:val="18"/>
              </w:rPr>
              <w:t>2019-10-24</w:t>
              <w:br/>
              <w:t>Concurso 36/2012 sección quinta</w:t>
            </w:r>
          </w:p>
        </w:tc>
        <w:tc>
          <w:tcPr>
            <w:tcW w:type="dxa" w:w="4252"/>
          </w:tcPr>
          <w:p>
            <w:pPr>
              <w:spacing w:after="60" w:before="40" w:line="240" w:lineRule="auto"/>
            </w:pPr>
            <w:r>
              <w:rPr>
                <w:rFonts w:ascii="Liberation Sans" w:hAnsi="Liberation Sans"/>
                <w:b w:val="0"/>
                <w:sz w:val="18"/>
              </w:rPr>
              <w:t>ACTO_JUDICIAL_DOCUMENTADO</w:t>
              <w:br/>
              <w:t>6 páginas completas; fundamento y parte dispositiva</w:t>
            </w:r>
          </w:p>
        </w:tc>
        <w:tc>
          <w:tcPr>
            <w:tcW w:type="dxa" w:w="4876"/>
          </w:tcPr>
          <w:p>
            <w:pPr>
              <w:spacing w:after="60" w:before="40" w:line="240" w:lineRule="auto"/>
            </w:pPr>
            <w:r>
              <w:rPr>
                <w:rFonts w:ascii="Liberation Sans" w:hAnsi="Liberation Sans"/>
                <w:b w:val="0"/>
                <w:sz w:val="18"/>
              </w:rPr>
              <w:t>Recurso Quinto; M07; P05</w:t>
              <w:br/>
              <w:t>No convalidación y nueva publicidad; deshacer operación condicionado a mejor oferta autorizada. Copia distinta de variantes anotadas.</w:t>
            </w:r>
          </w:p>
        </w:tc>
      </w:tr>
      <w:tr>
        <w:trPr>
          <w:cantSplit/>
        </w:trPr>
        <w:tc>
          <w:tcPr>
            <w:tcW w:type="dxa" w:w="2891"/>
          </w:tcPr>
          <w:p>
            <w:pPr>
              <w:spacing w:after="60" w:before="40" w:line="240" w:lineRule="auto"/>
            </w:pPr>
            <w:r>
              <w:rPr>
                <w:rFonts w:ascii="Liberation Sans" w:hAnsi="Liberation Sans"/>
                <w:b w:val="0"/>
                <w:sz w:val="18"/>
              </w:rPr>
              <w:t>D20 Solicitud convalidacion con anexos</w:t>
            </w:r>
          </w:p>
        </w:tc>
        <w:tc>
          <w:tcPr>
            <w:tcW w:type="dxa" w:w="2551"/>
          </w:tcPr>
          <w:p>
            <w:pPr>
              <w:spacing w:after="60" w:before="40" w:line="240" w:lineRule="auto"/>
            </w:pPr>
            <w:r>
              <w:rPr>
                <w:rFonts w:ascii="Liberation Sans" w:hAnsi="Liberation Sans"/>
                <w:b w:val="0"/>
                <w:sz w:val="18"/>
              </w:rPr>
              <w:t>2019-03-20; escritura referida 2018-11-28</w:t>
              <w:br/>
              <w:t>Concurso 36/2012</w:t>
            </w:r>
          </w:p>
        </w:tc>
        <w:tc>
          <w:tcPr>
            <w:tcW w:type="dxa" w:w="4252"/>
          </w:tcPr>
          <w:p>
            <w:pPr>
              <w:spacing w:after="60" w:before="40" w:line="240" w:lineRule="auto"/>
            </w:pPr>
            <w:r>
              <w:rPr>
                <w:rFonts w:ascii="Liberation Sans" w:hAnsi="Liberation Sans"/>
                <w:b w:val="0"/>
                <w:sz w:val="18"/>
              </w:rPr>
              <w:t>ESCRITO_AC_CON_ANEXOS</w:t>
              <w:br/>
              <w:t>282 páginas conservadas; OCR/lectura focal de primeras 12; no revisión exhaustiva del anexo notarial</w:t>
            </w:r>
          </w:p>
        </w:tc>
        <w:tc>
          <w:tcPr>
            <w:tcW w:type="dxa" w:w="4876"/>
          </w:tcPr>
          <w:p>
            <w:pPr>
              <w:spacing w:after="60" w:before="40" w:line="240" w:lineRule="auto"/>
            </w:pPr>
            <w:r>
              <w:rPr>
                <w:rFonts w:ascii="Liberation Sans" w:hAnsi="Liberation Sans"/>
                <w:b w:val="0"/>
                <w:sz w:val="18"/>
              </w:rPr>
              <w:t>Recurso Quinto; M07; P05</w:t>
              <w:br/>
              <w:t>El nombre P.1760-19 es referencia de escrito, no protocolo notarial. No se afirma haber auditado las 282 páginas.</w:t>
            </w:r>
          </w:p>
        </w:tc>
      </w:tr>
      <w:tr>
        <w:trPr>
          <w:cantSplit/>
        </w:trPr>
        <w:tc>
          <w:tcPr>
            <w:tcW w:type="dxa" w:w="2891"/>
          </w:tcPr>
          <w:p>
            <w:pPr>
              <w:spacing w:after="60" w:before="40" w:line="240" w:lineRule="auto"/>
            </w:pPr>
            <w:r>
              <w:rPr>
                <w:rFonts w:ascii="Liberation Sans" w:hAnsi="Liberation Sans"/>
                <w:b w:val="0"/>
                <w:sz w:val="18"/>
              </w:rPr>
              <w:t>D21 Auto autorizacion definitiva CAM</w:t>
            </w:r>
          </w:p>
        </w:tc>
        <w:tc>
          <w:tcPr>
            <w:tcW w:type="dxa" w:w="2551"/>
          </w:tcPr>
          <w:p>
            <w:pPr>
              <w:spacing w:after="60" w:before="40" w:line="240" w:lineRule="auto"/>
            </w:pPr>
            <w:r>
              <w:rPr>
                <w:rFonts w:ascii="Liberation Sans" w:hAnsi="Liberation Sans"/>
                <w:b w:val="0"/>
                <w:sz w:val="18"/>
              </w:rPr>
              <w:t>2021-05-18</w:t>
              <w:br/>
              <w:t>Concurso 36/2012</w:t>
            </w:r>
          </w:p>
        </w:tc>
        <w:tc>
          <w:tcPr>
            <w:tcW w:type="dxa" w:w="4252"/>
          </w:tcPr>
          <w:p>
            <w:pPr>
              <w:spacing w:after="60" w:before="40" w:line="240" w:lineRule="auto"/>
            </w:pPr>
            <w:r>
              <w:rPr>
                <w:rFonts w:ascii="Liberation Sans" w:hAnsi="Liberation Sans"/>
                <w:b w:val="0"/>
                <w:sz w:val="18"/>
              </w:rPr>
              <w:t>ACTO_JUDICIAL_DOCUMENTADO</w:t>
              <w:br/>
              <w:t>5 páginas; texto íntegro</w:t>
            </w:r>
          </w:p>
        </w:tc>
        <w:tc>
          <w:tcPr>
            <w:tcW w:type="dxa" w:w="4876"/>
          </w:tcPr>
          <w:p>
            <w:pPr>
              <w:spacing w:after="60" w:before="40" w:line="240" w:lineRule="auto"/>
            </w:pPr>
            <w:r>
              <w:rPr>
                <w:rFonts w:ascii="Liberation Sans" w:hAnsi="Liberation Sans"/>
                <w:b w:val="0"/>
                <w:sz w:val="18"/>
              </w:rPr>
              <w:t>Recurso Quinto; M07; M09; P05</w:t>
              <w:br/>
              <w:t>Contiene razones adversas sobre Ottawa, notificación, ausencia y publicidad; exacta ejecución por comprobar.</w:t>
            </w:r>
          </w:p>
        </w:tc>
      </w:tr>
      <w:tr>
        <w:trPr>
          <w:cantSplit/>
        </w:trPr>
        <w:tc>
          <w:tcPr>
            <w:tcW w:type="dxa" w:w="2891"/>
          </w:tcPr>
          <w:p>
            <w:pPr>
              <w:spacing w:after="60" w:before="40" w:line="240" w:lineRule="auto"/>
            </w:pPr>
            <w:r>
              <w:rPr>
                <w:rFonts w:ascii="Liberation Sans" w:hAnsi="Liberation Sans"/>
                <w:b w:val="0"/>
                <w:sz w:val="18"/>
              </w:rPr>
              <w:t>D22 Protocolo 457 dacion apartamentos</w:t>
            </w:r>
          </w:p>
        </w:tc>
        <w:tc>
          <w:tcPr>
            <w:tcW w:type="dxa" w:w="2551"/>
          </w:tcPr>
          <w:p>
            <w:pPr>
              <w:spacing w:after="60" w:before="40" w:line="240" w:lineRule="auto"/>
            </w:pPr>
            <w:r>
              <w:rPr>
                <w:rFonts w:ascii="Liberation Sans" w:hAnsi="Liberation Sans"/>
                <w:b w:val="0"/>
                <w:sz w:val="18"/>
              </w:rPr>
              <w:t>2022-02-21</w:t>
              <w:br/>
              <w:t>Concurso 36/2012 / cierre notarial</w:t>
            </w:r>
          </w:p>
        </w:tc>
        <w:tc>
          <w:tcPr>
            <w:tcW w:type="dxa" w:w="4252"/>
          </w:tcPr>
          <w:p>
            <w:pPr>
              <w:spacing w:after="60" w:before="40" w:line="240" w:lineRule="auto"/>
            </w:pPr>
            <w:r>
              <w:rPr>
                <w:rFonts w:ascii="Liberation Sans" w:hAnsi="Liberation Sans"/>
                <w:b w:val="0"/>
                <w:sz w:val="18"/>
              </w:rPr>
              <w:t>INSTRUMENTO_NOTARIAL</w:t>
              <w:br/>
              <w:t>76 páginas conservadas; cotejo focal pp. 1,11–12,21,26–32</w:t>
            </w:r>
          </w:p>
        </w:tc>
        <w:tc>
          <w:tcPr>
            <w:tcW w:type="dxa" w:w="4876"/>
          </w:tcPr>
          <w:p>
            <w:pPr>
              <w:spacing w:after="60" w:before="40" w:line="240" w:lineRule="auto"/>
            </w:pPr>
            <w:r>
              <w:rPr>
                <w:rFonts w:ascii="Liberation Sans" w:hAnsi="Liberation Sans"/>
                <w:b w:val="0"/>
                <w:sz w:val="18"/>
              </w:rPr>
              <w:t>Recurso Quinto; M04; M07; M09; P01; P05</w:t>
              <w:br/>
              <w:t>No auditoría completa de 76 páginas ni certificación registral. La ausencia de regularización de locales se limita a cláusulas revisadas.</w:t>
            </w:r>
          </w:p>
        </w:tc>
      </w:tr>
      <w:tr>
        <w:trPr>
          <w:cantSplit/>
        </w:trPr>
        <w:tc>
          <w:tcPr>
            <w:tcW w:type="dxa" w:w="2891"/>
          </w:tcPr>
          <w:p>
            <w:pPr>
              <w:spacing w:after="60" w:before="40" w:line="240" w:lineRule="auto"/>
            </w:pPr>
            <w:r>
              <w:rPr>
                <w:rFonts w:ascii="Liberation Sans" w:hAnsi="Liberation Sans"/>
                <w:b w:val="0"/>
                <w:sz w:val="18"/>
              </w:rPr>
              <w:t>D23 Acta saldo protocolo 869</w:t>
            </w:r>
          </w:p>
        </w:tc>
        <w:tc>
          <w:tcPr>
            <w:tcW w:type="dxa" w:w="2551"/>
          </w:tcPr>
          <w:p>
            <w:pPr>
              <w:spacing w:after="60" w:before="40" w:line="240" w:lineRule="auto"/>
            </w:pPr>
            <w:r>
              <w:rPr>
                <w:rFonts w:ascii="Liberation Sans" w:hAnsi="Liberation Sans"/>
                <w:b w:val="0"/>
                <w:sz w:val="18"/>
              </w:rPr>
              <w:t>2018-05-17 / nombre de presentación 23-05</w:t>
              <w:br/>
              <w:t>Concurso 36/2012 / antecedentes de crédito</w:t>
            </w:r>
          </w:p>
        </w:tc>
        <w:tc>
          <w:tcPr>
            <w:tcW w:type="dxa" w:w="4252"/>
          </w:tcPr>
          <w:p>
            <w:pPr>
              <w:spacing w:after="60" w:before="40" w:line="240" w:lineRule="auto"/>
            </w:pPr>
            <w:r>
              <w:rPr>
                <w:rFonts w:ascii="Liberation Sans" w:hAnsi="Liberation Sans"/>
                <w:b w:val="0"/>
                <w:sz w:val="18"/>
              </w:rPr>
              <w:t>ACTA_NOTARIAL_DE_SALDO</w:t>
              <w:br/>
              <w:t>Copia íntegra conservada; OCR de apoyo</w:t>
            </w:r>
          </w:p>
        </w:tc>
        <w:tc>
          <w:tcPr>
            <w:tcW w:type="dxa" w:w="4876"/>
          </w:tcPr>
          <w:p>
            <w:pPr>
              <w:spacing w:after="60" w:before="40" w:line="240" w:lineRule="auto"/>
            </w:pPr>
            <w:r>
              <w:rPr>
                <w:rFonts w:ascii="Liberation Sans" w:hAnsi="Liberation Sans"/>
                <w:b w:val="0"/>
                <w:sz w:val="18"/>
              </w:rPr>
              <w:t>M04; P01; P05</w:t>
              <w:br/>
              <w:t>Son actas de saldo, no las escrituras constitutivas hipotecarias completas ni certificados de titularidad.</w:t>
            </w:r>
          </w:p>
        </w:tc>
      </w:tr>
      <w:tr>
        <w:trPr>
          <w:cantSplit/>
        </w:trPr>
        <w:tc>
          <w:tcPr>
            <w:tcW w:type="dxa" w:w="2891"/>
          </w:tcPr>
          <w:p>
            <w:pPr>
              <w:spacing w:after="60" w:before="40" w:line="240" w:lineRule="auto"/>
            </w:pPr>
            <w:r>
              <w:rPr>
                <w:rFonts w:ascii="Liberation Sans" w:hAnsi="Liberation Sans"/>
                <w:b w:val="0"/>
                <w:sz w:val="18"/>
              </w:rPr>
              <w:t>D24 Acta saldo protocolo 870</w:t>
            </w:r>
          </w:p>
        </w:tc>
        <w:tc>
          <w:tcPr>
            <w:tcW w:type="dxa" w:w="2551"/>
          </w:tcPr>
          <w:p>
            <w:pPr>
              <w:spacing w:after="60" w:before="40" w:line="240" w:lineRule="auto"/>
            </w:pPr>
            <w:r>
              <w:rPr>
                <w:rFonts w:ascii="Liberation Sans" w:hAnsi="Liberation Sans"/>
                <w:b w:val="0"/>
                <w:sz w:val="18"/>
              </w:rPr>
              <w:t>2018-05-17 / nombre de presentación 23-05</w:t>
              <w:br/>
              <w:t>Concurso 36/2012 / antecedentes de crédito</w:t>
            </w:r>
          </w:p>
        </w:tc>
        <w:tc>
          <w:tcPr>
            <w:tcW w:type="dxa" w:w="4252"/>
          </w:tcPr>
          <w:p>
            <w:pPr>
              <w:spacing w:after="60" w:before="40" w:line="240" w:lineRule="auto"/>
            </w:pPr>
            <w:r>
              <w:rPr>
                <w:rFonts w:ascii="Liberation Sans" w:hAnsi="Liberation Sans"/>
                <w:b w:val="0"/>
                <w:sz w:val="18"/>
              </w:rPr>
              <w:t>ACTA_NOTARIAL_DE_SALDO</w:t>
              <w:br/>
              <w:t>Copia íntegra conservada; OCR de apoyo</w:t>
            </w:r>
          </w:p>
        </w:tc>
        <w:tc>
          <w:tcPr>
            <w:tcW w:type="dxa" w:w="4876"/>
          </w:tcPr>
          <w:p>
            <w:pPr>
              <w:spacing w:after="60" w:before="40" w:line="240" w:lineRule="auto"/>
            </w:pPr>
            <w:r>
              <w:rPr>
                <w:rFonts w:ascii="Liberation Sans" w:hAnsi="Liberation Sans"/>
                <w:b w:val="0"/>
                <w:sz w:val="18"/>
              </w:rPr>
              <w:t>M04; P01; P05</w:t>
              <w:br/>
              <w:t>Son actas de saldo, no las escrituras constitutivas hipotecarias completas ni certificados de titularidad.</w:t>
            </w:r>
          </w:p>
        </w:tc>
      </w:tr>
      <w:tr>
        <w:trPr>
          <w:cantSplit/>
        </w:trPr>
        <w:tc>
          <w:tcPr>
            <w:tcW w:type="dxa" w:w="2891"/>
          </w:tcPr>
          <w:p>
            <w:pPr>
              <w:spacing w:after="60" w:before="40" w:line="240" w:lineRule="auto"/>
            </w:pPr>
            <w:r>
              <w:rPr>
                <w:rFonts w:ascii="Liberation Sans" w:hAnsi="Liberation Sans"/>
                <w:b w:val="0"/>
                <w:sz w:val="18"/>
              </w:rPr>
              <w:t>D25 Contrato Comunidad Clubotel</w:t>
            </w:r>
          </w:p>
        </w:tc>
        <w:tc>
          <w:tcPr>
            <w:tcW w:type="dxa" w:w="2551"/>
          </w:tcPr>
          <w:p>
            <w:pPr>
              <w:spacing w:after="60" w:before="40" w:line="240" w:lineRule="auto"/>
            </w:pPr>
            <w:r>
              <w:rPr>
                <w:rFonts w:ascii="Liberation Sans" w:hAnsi="Liberation Sans"/>
                <w:b w:val="0"/>
                <w:sz w:val="18"/>
              </w:rPr>
              <w:t>2018-06-06</w:t>
              <w:br/>
              <w:t>Arquitectura comercial / Concurso 36/2012</w:t>
            </w:r>
          </w:p>
        </w:tc>
        <w:tc>
          <w:tcPr>
            <w:tcW w:type="dxa" w:w="4252"/>
          </w:tcPr>
          <w:p>
            <w:pPr>
              <w:spacing w:after="60" w:before="40" w:line="240" w:lineRule="auto"/>
            </w:pPr>
            <w:r>
              <w:rPr>
                <w:rFonts w:ascii="Liberation Sans" w:hAnsi="Liberation Sans"/>
                <w:b w:val="0"/>
                <w:sz w:val="18"/>
              </w:rPr>
              <w:t>CONTRATO_DOCUMENTADO</w:t>
              <w:br/>
              <w:t>16 páginas; partes, objeto, firma y conexión con D26</w:t>
            </w:r>
          </w:p>
        </w:tc>
        <w:tc>
          <w:tcPr>
            <w:tcW w:type="dxa" w:w="4876"/>
          </w:tcPr>
          <w:p>
            <w:pPr>
              <w:spacing w:after="60" w:before="40" w:line="240" w:lineRule="auto"/>
            </w:pPr>
            <w:r>
              <w:rPr>
                <w:rFonts w:ascii="Liberation Sans" w:hAnsi="Liberation Sans"/>
                <w:b w:val="0"/>
                <w:sz w:val="18"/>
              </w:rPr>
              <w:t>Recurso Septimo; M08; P06</w:t>
              <w:br/>
              <w:t>Representación y consentimiento de todos los propietarios no demostrados por la sola firma.</w:t>
            </w:r>
          </w:p>
        </w:tc>
      </w:tr>
      <w:tr>
        <w:trPr>
          <w:cantSplit/>
        </w:trPr>
        <w:tc>
          <w:tcPr>
            <w:tcW w:type="dxa" w:w="2891"/>
          </w:tcPr>
          <w:p>
            <w:pPr>
              <w:spacing w:after="60" w:before="40" w:line="240" w:lineRule="auto"/>
            </w:pPr>
            <w:r>
              <w:rPr>
                <w:rFonts w:ascii="Liberation Sans" w:hAnsi="Liberation Sans"/>
                <w:b w:val="0"/>
                <w:sz w:val="18"/>
              </w:rPr>
              <w:t>D26 Condiciones suspensivas Clubotel</w:t>
            </w:r>
          </w:p>
        </w:tc>
        <w:tc>
          <w:tcPr>
            <w:tcW w:type="dxa" w:w="2551"/>
          </w:tcPr>
          <w:p>
            <w:pPr>
              <w:spacing w:after="60" w:before="40" w:line="240" w:lineRule="auto"/>
            </w:pPr>
            <w:r>
              <w:rPr>
                <w:rFonts w:ascii="Liberation Sans" w:hAnsi="Liberation Sans"/>
                <w:b w:val="0"/>
                <w:sz w:val="18"/>
              </w:rPr>
              <w:t>2018-06-06</w:t>
              <w:br/>
              <w:t>Arquitectura comercial / Concurso 36/2012</w:t>
            </w:r>
          </w:p>
        </w:tc>
        <w:tc>
          <w:tcPr>
            <w:tcW w:type="dxa" w:w="4252"/>
          </w:tcPr>
          <w:p>
            <w:pPr>
              <w:spacing w:after="60" w:before="40" w:line="240" w:lineRule="auto"/>
            </w:pPr>
            <w:r>
              <w:rPr>
                <w:rFonts w:ascii="Liberation Sans" w:hAnsi="Liberation Sans"/>
                <w:b w:val="0"/>
                <w:sz w:val="18"/>
              </w:rPr>
              <w:t>CONTRATO_DOCUMENTADO</w:t>
              <w:br/>
              <w:t>2 páginas visualmente cotejadas</w:t>
            </w:r>
          </w:p>
        </w:tc>
        <w:tc>
          <w:tcPr>
            <w:tcW w:type="dxa" w:w="4876"/>
          </w:tcPr>
          <w:p>
            <w:pPr>
              <w:spacing w:after="60" w:before="40" w:line="240" w:lineRule="auto"/>
            </w:pPr>
            <w:r>
              <w:rPr>
                <w:rFonts w:ascii="Liberation Sans" w:hAnsi="Liberation Sans"/>
                <w:b w:val="0"/>
                <w:sz w:val="18"/>
              </w:rPr>
              <w:t>Recurso Septimo; M08; P06</w:t>
              <w:br/>
              <w:t>Condiciones pactadas; cumplimiento no acreditado.</w:t>
            </w:r>
          </w:p>
        </w:tc>
      </w:tr>
      <w:tr>
        <w:trPr>
          <w:cantSplit/>
        </w:trPr>
        <w:tc>
          <w:tcPr>
            <w:tcW w:type="dxa" w:w="2891"/>
          </w:tcPr>
          <w:p>
            <w:pPr>
              <w:spacing w:after="60" w:before="40" w:line="240" w:lineRule="auto"/>
            </w:pPr>
            <w:r>
              <w:rPr>
                <w:rFonts w:ascii="Liberation Sans" w:hAnsi="Liberation Sans"/>
                <w:b w:val="0"/>
                <w:sz w:val="18"/>
              </w:rPr>
              <w:t>D27 Oferta Varia condicionada</w:t>
            </w:r>
          </w:p>
        </w:tc>
        <w:tc>
          <w:tcPr>
            <w:tcW w:type="dxa" w:w="2551"/>
          </w:tcPr>
          <w:p>
            <w:pPr>
              <w:spacing w:after="60" w:before="40" w:line="240" w:lineRule="auto"/>
            </w:pPr>
            <w:r>
              <w:rPr>
                <w:rFonts w:ascii="Liberation Sans" w:hAnsi="Liberation Sans"/>
                <w:b w:val="0"/>
                <w:sz w:val="18"/>
              </w:rPr>
              <w:t>2018-06-12</w:t>
              <w:br/>
              <w:t>Arquitectura comercial / Concurso 36/2012</w:t>
            </w:r>
          </w:p>
        </w:tc>
        <w:tc>
          <w:tcPr>
            <w:tcW w:type="dxa" w:w="4252"/>
          </w:tcPr>
          <w:p>
            <w:pPr>
              <w:spacing w:after="60" w:before="40" w:line="240" w:lineRule="auto"/>
            </w:pPr>
            <w:r>
              <w:rPr>
                <w:rFonts w:ascii="Liberation Sans" w:hAnsi="Liberation Sans"/>
                <w:b w:val="0"/>
                <w:sz w:val="18"/>
              </w:rPr>
              <w:t>OFERTA_CONDICIONADA</w:t>
              <w:br/>
              <w:t>3 páginas completas; bloques de conformidad sin firmas visibles</w:t>
            </w:r>
          </w:p>
        </w:tc>
        <w:tc>
          <w:tcPr>
            <w:tcW w:type="dxa" w:w="4876"/>
          </w:tcPr>
          <w:p>
            <w:pPr>
              <w:spacing w:after="60" w:before="40" w:line="240" w:lineRule="auto"/>
            </w:pPr>
            <w:r>
              <w:rPr>
                <w:rFonts w:ascii="Liberation Sans" w:hAnsi="Liberation Sans"/>
                <w:b w:val="0"/>
                <w:sz w:val="18"/>
              </w:rPr>
              <w:t>Recurso Septimo; M08; P06</w:t>
              <w:br/>
              <w:t>El adjunto enviado por Stoneweg el 12-06 coincide por SHA-256 con esta copia. El resumen anterior no describe fielmente su distribución. Otras versiones y aceptación/cumplimiento siguen por cotejar.</w:t>
            </w:r>
          </w:p>
        </w:tc>
      </w:tr>
      <w:tr>
        <w:trPr>
          <w:cantSplit/>
        </w:trPr>
        <w:tc>
          <w:tcPr>
            <w:tcW w:type="dxa" w:w="2891"/>
          </w:tcPr>
          <w:p>
            <w:pPr>
              <w:spacing w:after="60" w:before="40" w:line="240" w:lineRule="auto"/>
            </w:pPr>
            <w:r>
              <w:rPr>
                <w:rFonts w:ascii="Liberation Sans" w:hAnsi="Liberation Sans"/>
                <w:b w:val="0"/>
                <w:sz w:val="18"/>
              </w:rPr>
              <w:t>D28 Adenda Clubotel febrero 2019</w:t>
            </w:r>
          </w:p>
        </w:tc>
        <w:tc>
          <w:tcPr>
            <w:tcW w:type="dxa" w:w="2551"/>
          </w:tcPr>
          <w:p>
            <w:pPr>
              <w:spacing w:after="60" w:before="40" w:line="240" w:lineRule="auto"/>
            </w:pPr>
            <w:r>
              <w:rPr>
                <w:rFonts w:ascii="Liberation Sans" w:hAnsi="Liberation Sans"/>
                <w:b w:val="0"/>
                <w:sz w:val="18"/>
              </w:rPr>
              <w:t>2019-02-12</w:t>
              <w:br/>
              <w:t>Arquitectura comercial / Concurso 36/2012</w:t>
            </w:r>
          </w:p>
        </w:tc>
        <w:tc>
          <w:tcPr>
            <w:tcW w:type="dxa" w:w="4252"/>
          </w:tcPr>
          <w:p>
            <w:pPr>
              <w:spacing w:after="60" w:before="40" w:line="240" w:lineRule="auto"/>
            </w:pPr>
            <w:r>
              <w:rPr>
                <w:rFonts w:ascii="Liberation Sans" w:hAnsi="Liberation Sans"/>
                <w:b w:val="0"/>
                <w:sz w:val="18"/>
              </w:rPr>
              <w:t>CONTRATO_Y_MANIFESTACIONES</w:t>
              <w:br/>
              <w:t>3 páginas completas visualmente cotejadas</w:t>
            </w:r>
          </w:p>
        </w:tc>
        <w:tc>
          <w:tcPr>
            <w:tcW w:type="dxa" w:w="4876"/>
          </w:tcPr>
          <w:p>
            <w:pPr>
              <w:spacing w:after="60" w:before="40" w:line="240" w:lineRule="auto"/>
            </w:pPr>
            <w:r>
              <w:rPr>
                <w:rFonts w:ascii="Liberation Sans" w:hAnsi="Liberation Sans"/>
                <w:b w:val="0"/>
                <w:sz w:val="18"/>
              </w:rPr>
              <w:t>Recurso Septimo; M08; P04; P06</w:t>
              <w:br/>
              <w:t>Constata manifestaciones contractuales de deterioro; no prueba autor responsable ni inversión ejecutada.</w:t>
            </w:r>
          </w:p>
        </w:tc>
      </w:tr>
      <w:tr>
        <w:trPr>
          <w:cantSplit/>
        </w:trPr>
        <w:tc>
          <w:tcPr>
            <w:tcW w:type="dxa" w:w="2891"/>
          </w:tcPr>
          <w:p>
            <w:pPr>
              <w:spacing w:after="60" w:before="40" w:line="240" w:lineRule="auto"/>
            </w:pPr>
            <w:r>
              <w:rPr>
                <w:rFonts w:ascii="Liberation Sans" w:hAnsi="Liberation Sans"/>
                <w:b w:val="0"/>
                <w:sz w:val="18"/>
              </w:rPr>
              <w:t>D29a Relato profesional contemporáneo de 13 de junio de 2018</w:t>
            </w:r>
          </w:p>
        </w:tc>
        <w:tc>
          <w:tcPr>
            <w:tcW w:type="dxa" w:w="2551"/>
          </w:tcPr>
          <w:p>
            <w:pPr>
              <w:spacing w:after="60" w:before="40" w:line="240" w:lineRule="auto"/>
            </w:pPr>
            <w:r>
              <w:rPr>
                <w:rFonts w:ascii="Liberation Sans" w:hAnsi="Liberation Sans"/>
                <w:b w:val="0"/>
                <w:sz w:val="18"/>
              </w:rPr>
              <w:t>2018-06-13</w:t>
              <w:br/>
              <w:t>Arquitectura comercial / Concurso 36/2012</w:t>
            </w:r>
          </w:p>
        </w:tc>
        <w:tc>
          <w:tcPr>
            <w:tcW w:type="dxa" w:w="4252"/>
          </w:tcPr>
          <w:p>
            <w:pPr>
              <w:spacing w:after="60" w:before="40" w:line="240" w:lineRule="auto"/>
            </w:pPr>
            <w:r>
              <w:rPr>
                <w:rFonts w:ascii="Liberation Sans" w:hAnsi="Liberation Sans"/>
                <w:b w:val="0"/>
                <w:sz w:val="18"/>
              </w:rPr>
              <w:t>RELATO_PROFESIONAL_CONTEMPORANEO</w:t>
              <w:br/>
              <w:t>MIME original y cuerpo completo conservados; extracto específico para consulta</w:t>
            </w:r>
          </w:p>
        </w:tc>
        <w:tc>
          <w:tcPr>
            <w:tcW w:type="dxa" w:w="4876"/>
          </w:tcPr>
          <w:p>
            <w:pPr>
              <w:spacing w:after="60" w:before="40" w:line="240" w:lineRule="auto"/>
            </w:pPr>
            <w:r>
              <w:rPr>
                <w:rFonts w:ascii="Liberation Sans" w:hAnsi="Liberation Sans"/>
                <w:b w:val="0"/>
                <w:sz w:val="18"/>
              </w:rPr>
              <w:t>Recurso Septimo; M08; I06; P06</w:t>
              <w:br/>
              <w:t>No acta judicial. Sanz refiere lo comunicado por Irigoyen; no constituye testigo independiente de la reunión.</w:t>
            </w:r>
          </w:p>
        </w:tc>
      </w:tr>
      <w:tr>
        <w:trPr>
          <w:cantSplit/>
        </w:trPr>
        <w:tc>
          <w:tcPr>
            <w:tcW w:type="dxa" w:w="2891"/>
          </w:tcPr>
          <w:p>
            <w:pPr>
              <w:spacing w:after="60" w:before="40" w:line="240" w:lineRule="auto"/>
            </w:pPr>
            <w:r>
              <w:rPr>
                <w:rFonts w:ascii="Liberation Sans" w:hAnsi="Liberation Sans"/>
                <w:b w:val="0"/>
                <w:sz w:val="18"/>
              </w:rPr>
              <w:t>D29b Comunicación contemporánea de la misma cadena informativa</w:t>
            </w:r>
          </w:p>
        </w:tc>
        <w:tc>
          <w:tcPr>
            <w:tcW w:type="dxa" w:w="2551"/>
          </w:tcPr>
          <w:p>
            <w:pPr>
              <w:spacing w:after="60" w:before="40" w:line="240" w:lineRule="auto"/>
            </w:pPr>
            <w:r>
              <w:rPr>
                <w:rFonts w:ascii="Liberation Sans" w:hAnsi="Liberation Sans"/>
                <w:b w:val="0"/>
                <w:sz w:val="18"/>
              </w:rPr>
              <w:t>2018-06-13</w:t>
              <w:br/>
              <w:t>Arquitectura comercial / Concurso 36/2012</w:t>
            </w:r>
          </w:p>
        </w:tc>
        <w:tc>
          <w:tcPr>
            <w:tcW w:type="dxa" w:w="4252"/>
          </w:tcPr>
          <w:p>
            <w:pPr>
              <w:spacing w:after="60" w:before="40" w:line="240" w:lineRule="auto"/>
            </w:pPr>
            <w:r>
              <w:rPr>
                <w:rFonts w:ascii="Liberation Sans" w:hAnsi="Liberation Sans"/>
                <w:b w:val="0"/>
                <w:sz w:val="18"/>
              </w:rPr>
              <w:t>RELATO_PROFESIONAL_CONTEMPORANEO</w:t>
              <w:br/>
              <w:t>MIME original y cuerpo completo conservados; extracto específico para consulta</w:t>
            </w:r>
          </w:p>
        </w:tc>
        <w:tc>
          <w:tcPr>
            <w:tcW w:type="dxa" w:w="4876"/>
          </w:tcPr>
          <w:p>
            <w:pPr>
              <w:spacing w:after="60" w:before="40" w:line="240" w:lineRule="auto"/>
            </w:pPr>
            <w:r>
              <w:rPr>
                <w:rFonts w:ascii="Liberation Sans" w:hAnsi="Liberation Sans"/>
                <w:b w:val="0"/>
                <w:sz w:val="18"/>
              </w:rPr>
              <w:t>Recurso Septimo; M08; I06; P06</w:t>
              <w:br/>
              <w:t>No acta judicial. Sanz refiere lo comunicado por Irigoyen; no constituye testigo independiente de la reunión.</w:t>
            </w:r>
          </w:p>
        </w:tc>
      </w:tr>
      <w:tr>
        <w:trPr>
          <w:cantSplit/>
        </w:trPr>
        <w:tc>
          <w:tcPr>
            <w:tcW w:type="dxa" w:w="2891"/>
          </w:tcPr>
          <w:p>
            <w:pPr>
              <w:spacing w:after="60" w:before="40" w:line="240" w:lineRule="auto"/>
            </w:pPr>
            <w:r>
              <w:rPr>
                <w:rFonts w:ascii="Liberation Sans" w:hAnsi="Liberation Sans"/>
                <w:b w:val="0"/>
                <w:sz w:val="18"/>
              </w:rPr>
              <w:t>D30 Dossier fotografico junio 2018</w:t>
            </w:r>
          </w:p>
        </w:tc>
        <w:tc>
          <w:tcPr>
            <w:tcW w:type="dxa" w:w="2551"/>
          </w:tcPr>
          <w:p>
            <w:pPr>
              <w:spacing w:after="60" w:before="40" w:line="240" w:lineRule="auto"/>
            </w:pPr>
            <w:r>
              <w:rPr>
                <w:rFonts w:ascii="Liberation Sans" w:hAnsi="Liberation Sans"/>
                <w:b w:val="0"/>
                <w:sz w:val="18"/>
              </w:rPr>
              <w:t>Transmitido 2018-06-07 según registro; copia en correo 12-06</w:t>
              <w:br/>
              <w:t>DP 1132/2018 / contexto DI 248</w:t>
            </w:r>
          </w:p>
        </w:tc>
        <w:tc>
          <w:tcPr>
            <w:tcW w:type="dxa" w:w="4252"/>
          </w:tcPr>
          <w:p>
            <w:pPr>
              <w:spacing w:after="60" w:before="40" w:line="240" w:lineRule="auto"/>
            </w:pPr>
            <w:r>
              <w:rPr>
                <w:rFonts w:ascii="Liberation Sans" w:hAnsi="Liberation Sans"/>
                <w:b w:val="0"/>
                <w:sz w:val="18"/>
              </w:rPr>
              <w:t>COMPILACION_DE_PARTE</w:t>
              <w:br/>
              <w:t>14 páginas conservadas; imágenes y encabezados atribuidos a compilador</w:t>
            </w:r>
          </w:p>
        </w:tc>
        <w:tc>
          <w:tcPr>
            <w:tcW w:type="dxa" w:w="4876"/>
          </w:tcPr>
          <w:p>
            <w:pPr>
              <w:spacing w:after="60" w:before="40" w:line="240" w:lineRule="auto"/>
            </w:pPr>
            <w:r>
              <w:rPr>
                <w:rFonts w:ascii="Liberation Sans" w:hAnsi="Liberation Sans"/>
                <w:b w:val="0"/>
                <w:sz w:val="18"/>
              </w:rPr>
              <w:t>M05; P02; P04</w:t>
              <w:br/>
              <w:t>Títulos son alegaciones. Captura, fotógrafo y archivos originales no verificados; no doble contar fotogramas de mismos vídeos.</w:t>
            </w:r>
          </w:p>
        </w:tc>
      </w:tr>
      <w:tr>
        <w:trPr>
          <w:cantSplit/>
        </w:trPr>
        <w:tc>
          <w:tcPr>
            <w:tcW w:type="dxa" w:w="2891"/>
          </w:tcPr>
          <w:p>
            <w:pPr>
              <w:spacing w:after="60" w:before="40" w:line="240" w:lineRule="auto"/>
            </w:pPr>
            <w:r>
              <w:rPr>
                <w:rFonts w:ascii="Liberation Sans" w:hAnsi="Liberation Sans"/>
                <w:b w:val="0"/>
                <w:sz w:val="18"/>
              </w:rPr>
              <w:t>D31 Term Sheet firmado ruta posterior</w:t>
            </w:r>
          </w:p>
        </w:tc>
        <w:tc>
          <w:tcPr>
            <w:tcW w:type="dxa" w:w="2551"/>
          </w:tcPr>
          <w:p>
            <w:pPr>
              <w:spacing w:after="60" w:before="40" w:line="240" w:lineRule="auto"/>
            </w:pPr>
            <w:r>
              <w:rPr>
                <w:rFonts w:ascii="Liberation Sans" w:hAnsi="Liberation Sans"/>
                <w:b w:val="0"/>
                <w:sz w:val="18"/>
              </w:rPr>
              <w:t>2018-08-01 / correo 2018-09-25</w:t>
              <w:br/>
              <w:t>Salida del Concurso 36/2012</w:t>
            </w:r>
          </w:p>
        </w:tc>
        <w:tc>
          <w:tcPr>
            <w:tcW w:type="dxa" w:w="4252"/>
          </w:tcPr>
          <w:p>
            <w:pPr>
              <w:spacing w:after="60" w:before="40" w:line="240" w:lineRule="auto"/>
            </w:pPr>
            <w:r>
              <w:rPr>
                <w:rFonts w:ascii="Liberation Sans" w:hAnsi="Liberation Sans"/>
                <w:b w:val="0"/>
                <w:sz w:val="18"/>
              </w:rPr>
              <w:t>TERMINOS_FIRMADOS_CON_CONDICIONES</w:t>
              <w:br/>
              <w:t>11 páginas visualmente revisadas; seguridad pp.3–4; condiciones pp.6–8; vencimiento p.10; firmas p.11</w:t>
            </w:r>
          </w:p>
        </w:tc>
        <w:tc>
          <w:tcPr>
            <w:tcW w:type="dxa" w:w="4876"/>
          </w:tcPr>
          <w:p>
            <w:pPr>
              <w:spacing w:after="60" w:before="40" w:line="240" w:lineRule="auto"/>
            </w:pPr>
            <w:r>
              <w:rPr>
                <w:rFonts w:ascii="Liberation Sans" w:hAnsi="Liberation Sans"/>
                <w:b w:val="0"/>
                <w:sz w:val="18"/>
              </w:rPr>
              <w:t>Recurso Septimo; M08; P06</w:t>
              <w:br/>
              <w:t>Ruta distinta de Varia. Firma no equivale a contrato de préstamo definitivo, disposición ni cumplimiento; confidencialidad contractual. Fuente privada identificada para obtención/aportación pertinente.</w:t>
            </w:r>
          </w:p>
        </w:tc>
      </w:tr>
      <w:tr>
        <w:trPr>
          <w:cantSplit/>
        </w:trPr>
        <w:tc>
          <w:tcPr>
            <w:tcW w:type="dxa" w:w="2891"/>
          </w:tcPr>
          <w:p>
            <w:pPr>
              <w:spacing w:after="60" w:before="40" w:line="240" w:lineRule="auto"/>
            </w:pPr>
            <w:r>
              <w:rPr>
                <w:rFonts w:ascii="Liberation Sans" w:hAnsi="Liberation Sans"/>
                <w:b w:val="0"/>
                <w:sz w:val="18"/>
              </w:rPr>
              <w:t>D32 Instrucciones previas reunion septiembre</w:t>
            </w:r>
          </w:p>
        </w:tc>
        <w:tc>
          <w:tcPr>
            <w:tcW w:type="dxa" w:w="2551"/>
          </w:tcPr>
          <w:p>
            <w:pPr>
              <w:spacing w:after="60" w:before="40" w:line="240" w:lineRule="auto"/>
            </w:pPr>
            <w:r>
              <w:rPr>
                <w:rFonts w:ascii="Liberation Sans" w:hAnsi="Liberation Sans"/>
                <w:b w:val="0"/>
                <w:sz w:val="18"/>
              </w:rPr>
              <w:t>2018-09-26 / cadena 25-09</w:t>
              <w:br/>
              <w:t>Salida del Concurso 36/2012</w:t>
            </w:r>
          </w:p>
        </w:tc>
        <w:tc>
          <w:tcPr>
            <w:tcW w:type="dxa" w:w="4252"/>
          </w:tcPr>
          <w:p>
            <w:pPr>
              <w:spacing w:after="60" w:before="40" w:line="240" w:lineRule="auto"/>
            </w:pPr>
            <w:r>
              <w:rPr>
                <w:rFonts w:ascii="Liberation Sans" w:hAnsi="Liberation Sans"/>
                <w:b w:val="0"/>
                <w:sz w:val="18"/>
              </w:rPr>
              <w:t>COMUNICACIÓN PROFESIONAL CONTEMPORÁNEA</w:t>
              <w:br/>
              <w:t>Cadena íntegra preservada y cuerpo relevante leído; detalles de remisión interna y consejo profesional reservados</w:t>
            </w:r>
          </w:p>
        </w:tc>
        <w:tc>
          <w:tcPr>
            <w:tcW w:type="dxa" w:w="4876"/>
          </w:tcPr>
          <w:p>
            <w:pPr>
              <w:spacing w:after="60" w:before="40" w:line="240" w:lineRule="auto"/>
            </w:pPr>
            <w:r>
              <w:rPr>
                <w:rFonts w:ascii="Liberation Sans" w:hAnsi="Liberation Sans"/>
                <w:b w:val="0"/>
                <w:sz w:val="18"/>
              </w:rPr>
              <w:t>Recurso Septimo; M08; I06; P06</w:t>
              <w:br/>
              <w:t>Lo relatado no es acta ni resolución judicial. Comunicación/instrucción no prueba cumplimiento posterior. Nativo reservado; aportación profesionalmente seleccionada.</w:t>
            </w:r>
          </w:p>
        </w:tc>
      </w:tr>
      <w:tr>
        <w:trPr>
          <w:cantSplit/>
        </w:trPr>
        <w:tc>
          <w:tcPr>
            <w:tcW w:type="dxa" w:w="2891"/>
          </w:tcPr>
          <w:p>
            <w:pPr>
              <w:spacing w:after="60" w:before="40" w:line="240" w:lineRule="auto"/>
            </w:pPr>
            <w:r>
              <w:rPr>
                <w:rFonts w:ascii="Liberation Sans" w:hAnsi="Liberation Sans"/>
                <w:b w:val="0"/>
                <w:sz w:val="18"/>
              </w:rPr>
              <w:t>D33 Relatos reuniones AC y juez septiembre</w:t>
            </w:r>
          </w:p>
        </w:tc>
        <w:tc>
          <w:tcPr>
            <w:tcW w:type="dxa" w:w="2551"/>
          </w:tcPr>
          <w:p>
            <w:pPr>
              <w:spacing w:after="60" w:before="40" w:line="240" w:lineRule="auto"/>
            </w:pPr>
            <w:r>
              <w:rPr>
                <w:rFonts w:ascii="Liberation Sans" w:hAnsi="Liberation Sans"/>
                <w:b w:val="0"/>
                <w:sz w:val="18"/>
              </w:rPr>
              <w:t>2018-09-27 / relato 26-09</w:t>
              <w:br/>
              <w:t>Salida del Concurso 36/2012</w:t>
            </w:r>
          </w:p>
        </w:tc>
        <w:tc>
          <w:tcPr>
            <w:tcW w:type="dxa" w:w="4252"/>
          </w:tcPr>
          <w:p>
            <w:pPr>
              <w:spacing w:after="60" w:before="40" w:line="240" w:lineRule="auto"/>
            </w:pPr>
            <w:r>
              <w:rPr>
                <w:rFonts w:ascii="Liberation Sans" w:hAnsi="Liberation Sans"/>
                <w:b w:val="0"/>
                <w:sz w:val="18"/>
              </w:rPr>
              <w:t>COMUNICACIÓN PROFESIONAL CONTEMPORÁNEA</w:t>
              <w:br/>
              <w:t>Correo nativo con relatos de asistentes en cadena contemporánea; comentarios profesionales íntegros reservados</w:t>
            </w:r>
          </w:p>
        </w:tc>
        <w:tc>
          <w:tcPr>
            <w:tcW w:type="dxa" w:w="4876"/>
          </w:tcPr>
          <w:p>
            <w:pPr>
              <w:spacing w:after="60" w:before="40" w:line="240" w:lineRule="auto"/>
            </w:pPr>
            <w:r>
              <w:rPr>
                <w:rFonts w:ascii="Liberation Sans" w:hAnsi="Liberation Sans"/>
                <w:b w:val="0"/>
                <w:sz w:val="18"/>
              </w:rPr>
              <w:t>Recurso Septimo; M08; I06; P06</w:t>
              <w:br/>
              <w:t>Lo relatado no es acta ni resolución judicial. Comunicación/instrucción no prueba cumplimiento posterior. Nativo reservado; aportación profesionalmente seleccionada.</w:t>
            </w:r>
          </w:p>
        </w:tc>
      </w:tr>
      <w:tr>
        <w:trPr>
          <w:cantSplit/>
        </w:trPr>
        <w:tc>
          <w:tcPr>
            <w:tcW w:type="dxa" w:w="2891"/>
          </w:tcPr>
          <w:p>
            <w:pPr>
              <w:spacing w:after="60" w:before="40" w:line="240" w:lineRule="auto"/>
            </w:pPr>
            <w:r>
              <w:rPr>
                <w:rFonts w:ascii="Liberation Sans" w:hAnsi="Liberation Sans"/>
                <w:b w:val="0"/>
                <w:sz w:val="18"/>
              </w:rPr>
              <w:t>D34 Extension exclusividad firmada</w:t>
            </w:r>
          </w:p>
        </w:tc>
        <w:tc>
          <w:tcPr>
            <w:tcW w:type="dxa" w:w="2551"/>
          </w:tcPr>
          <w:p>
            <w:pPr>
              <w:spacing w:after="60" w:before="40" w:line="240" w:lineRule="auto"/>
            </w:pPr>
            <w:r>
              <w:rPr>
                <w:rFonts w:ascii="Liberation Sans" w:hAnsi="Liberation Sans"/>
                <w:b w:val="0"/>
                <w:sz w:val="18"/>
              </w:rPr>
              <w:t>Carta 2018-09-28 / devolución 2018-10-01</w:t>
              <w:br/>
              <w:t>Salida del Concurso 36/2012</w:t>
            </w:r>
          </w:p>
        </w:tc>
        <w:tc>
          <w:tcPr>
            <w:tcW w:type="dxa" w:w="4252"/>
          </w:tcPr>
          <w:p>
            <w:pPr>
              <w:spacing w:after="60" w:before="40" w:line="240" w:lineRule="auto"/>
            </w:pPr>
            <w:r>
              <w:rPr>
                <w:rFonts w:ascii="Liberation Sans" w:hAnsi="Liberation Sans"/>
                <w:b w:val="0"/>
                <w:sz w:val="18"/>
              </w:rPr>
              <w:t>CARTA_FIRMADA</w:t>
              <w:br/>
              <w:t>2 páginas visualmente revisadas; firma de contraparte y aceptación por prestatarias</w:t>
            </w:r>
          </w:p>
        </w:tc>
        <w:tc>
          <w:tcPr>
            <w:tcW w:type="dxa" w:w="4876"/>
          </w:tcPr>
          <w:p>
            <w:pPr>
              <w:spacing w:after="60" w:before="40" w:line="240" w:lineRule="auto"/>
            </w:pPr>
            <w:r>
              <w:rPr>
                <w:rFonts w:ascii="Liberation Sans" w:hAnsi="Liberation Sans"/>
                <w:b w:val="0"/>
                <w:sz w:val="18"/>
              </w:rPr>
              <w:t>Recurso Séptimo; M08; P06</w:t>
              <w:br/>
              <w:t>La cláusula de exclusividad y la cláusula de vencimiento del término son distintas. No afirmar prórroga automática de toda obligación. Fechas de efecto contractuales reservadas; nativo privado.</w:t>
            </w:r>
          </w:p>
        </w:tc>
      </w:tr>
      <w:tr>
        <w:trPr>
          <w:cantSplit/>
        </w:trPr>
        <w:tc>
          <w:tcPr>
            <w:tcW w:type="dxa" w:w="2891"/>
          </w:tcPr>
          <w:p>
            <w:pPr>
              <w:spacing w:after="60" w:before="40" w:line="240" w:lineRule="auto"/>
            </w:pPr>
            <w:r>
              <w:rPr>
                <w:rFonts w:ascii="Liberation Sans" w:hAnsi="Liberation Sans"/>
                <w:b w:val="0"/>
                <w:sz w:val="18"/>
              </w:rPr>
              <w:t>D35 Garantias provisionales junio</w:t>
            </w:r>
          </w:p>
        </w:tc>
        <w:tc>
          <w:tcPr>
            <w:tcW w:type="dxa" w:w="2551"/>
          </w:tcPr>
          <w:p>
            <w:pPr>
              <w:spacing w:after="60" w:before="40" w:line="240" w:lineRule="auto"/>
            </w:pPr>
            <w:r>
              <w:rPr>
                <w:rFonts w:ascii="Liberation Sans" w:hAnsi="Liberation Sans"/>
                <w:b w:val="0"/>
                <w:sz w:val="18"/>
              </w:rPr>
              <w:t>2018-06-12</w:t>
              <w:br/>
              <w:t>Salida del Concurso 36/2012</w:t>
            </w:r>
          </w:p>
        </w:tc>
        <w:tc>
          <w:tcPr>
            <w:tcW w:type="dxa" w:w="4252"/>
          </w:tcPr>
          <w:p>
            <w:pPr>
              <w:spacing w:after="60" w:before="40" w:line="240" w:lineRule="auto"/>
            </w:pPr>
            <w:r>
              <w:rPr>
                <w:rFonts w:ascii="Liberation Sans" w:hAnsi="Liberation Sans"/>
                <w:b w:val="0"/>
                <w:sz w:val="18"/>
              </w:rPr>
              <w:t>COMUNICACION_PROFESIONAL_CONTEMPORANEA</w:t>
              <w:br/>
              <w:t>Correo nativo; proposición inicial y contexto profesional leídos</w:t>
            </w:r>
          </w:p>
        </w:tc>
        <w:tc>
          <w:tcPr>
            <w:tcW w:type="dxa" w:w="4876"/>
          </w:tcPr>
          <w:p>
            <w:pPr>
              <w:spacing w:after="60" w:before="40" w:line="240" w:lineRule="auto"/>
            </w:pPr>
            <w:r>
              <w:rPr>
                <w:rFonts w:ascii="Liberation Sans" w:hAnsi="Liberation Sans"/>
                <w:b w:val="0"/>
                <w:sz w:val="18"/>
              </w:rPr>
              <w:t>Recurso Septimo; M08; I06; P06</w:t>
              <w:br/>
              <w:t>Lo relatado no es acta ni resolución judicial. Comunicación/instrucción no prueba cumplimiento posterior. Nativo reservado; aportación profesionalmente seleccionada.</w:t>
            </w:r>
          </w:p>
        </w:tc>
      </w:tr>
    </w:tbl>
    <w:p/>
    <w:p>
      <w:pPr>
        <w:pStyle w:val="Heading1"/>
        <w:pageBreakBefore/>
      </w:pPr>
      <w:r>
        <w:t>8 Integridad y correspondencia con el registro canónico</w:t>
      </w:r>
    </w:p>
    <w:p>
      <w:r>
        <w:t>La correspondencia siguiente conserva las referencias documentales y los IDs canónicos. Las huellas de las fuentes privadas se reservan para el cotejo con los originales. La coincidencia SHA-512 entre D2 y D3 se ha comprobado; esa comprobación acredita identidad documental, no veracidad del contenido. Las huellas de las copias públicas se publican separadamente en su manifiesto.</w:t>
      </w:r>
    </w:p>
    <w:tbl>
      <w:tblPr>
        <w:tblStyle w:val="TableGrid"/>
        <w:tblW w:type="auto" w:w="0"/>
        <w:tblLayout w:type="fixed"/>
        <w:tblLook w:firstColumn="1" w:firstRow="1" w:lastColumn="0" w:lastRow="0" w:noHBand="0" w:noVBand="1" w:val="04A0"/>
      </w:tblPr>
      <w:tblGrid>
        <w:gridCol w:w="964"/>
        <w:gridCol w:w="7937"/>
        <w:gridCol w:w="5669"/>
      </w:tblGrid>
      <w:tr>
        <w:trPr>
          <w:tblHeader/>
          <w:cantSplit/>
        </w:trPr>
        <w:tc>
          <w:tcPr>
            <w:tcW w:type="dxa" w:w="964"/>
            <w:shd w:fill="E8EBEF"/>
          </w:tcPr>
          <w:p>
            <w:pPr>
              <w:spacing w:after="60" w:before="40" w:line="240" w:lineRule="auto"/>
            </w:pPr>
            <w:r>
              <w:rPr>
                <w:rFonts w:ascii="Liberation Sans" w:hAnsi="Liberation Sans"/>
                <w:b/>
                <w:sz w:val="17"/>
              </w:rPr>
              <w:t>ID</w:t>
            </w:r>
          </w:p>
        </w:tc>
        <w:tc>
          <w:tcPr>
            <w:tcW w:type="dxa" w:w="7937"/>
            <w:shd w:fill="E8EBEF"/>
          </w:tcPr>
          <w:p>
            <w:pPr>
              <w:spacing w:after="60" w:before="40" w:line="240" w:lineRule="auto"/>
            </w:pPr>
            <w:r>
              <w:rPr>
                <w:rFonts w:ascii="Liberation Sans" w:hAnsi="Liberation Sans"/>
                <w:b/>
                <w:sz w:val="17"/>
              </w:rPr>
              <w:t>Huella de la fuente reservada</w:t>
            </w:r>
          </w:p>
        </w:tc>
        <w:tc>
          <w:tcPr>
            <w:tcW w:type="dxa" w:w="5669"/>
            <w:shd w:fill="E8EBEF"/>
          </w:tcPr>
          <w:p>
            <w:pPr>
              <w:spacing w:after="60" w:before="40" w:line="240" w:lineRule="auto"/>
            </w:pPr>
            <w:r>
              <w:rPr>
                <w:rFonts w:ascii="Liberation Sans" w:hAnsi="Liberation Sans"/>
                <w:b/>
                <w:sz w:val="17"/>
              </w:rPr>
              <w:t>Identidad y evento canónicos existentes</w:t>
            </w:r>
          </w:p>
        </w:tc>
      </w:tr>
      <w:tr>
        <w:trPr>
          <w:cantSplit/>
        </w:trPr>
        <w:tc>
          <w:tcPr>
            <w:tcW w:type="dxa" w:w="964"/>
          </w:tcPr>
          <w:p>
            <w:pPr>
              <w:spacing w:after="60" w:before="40" w:line="240" w:lineRule="auto"/>
            </w:pPr>
            <w:r>
              <w:rPr>
                <w:rFonts w:ascii="Liberation Sans" w:hAnsi="Liberation Sans"/>
                <w:b w:val="0"/>
                <w:sz w:val="17"/>
              </w:rPr>
              <w:t>D1</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PD-SP-R-0034; PD-SP-EVT-0086; PD-SP-EVT-0118</w:t>
            </w:r>
          </w:p>
        </w:tc>
      </w:tr>
      <w:tr>
        <w:trPr>
          <w:cantSplit/>
        </w:trPr>
        <w:tc>
          <w:tcPr>
            <w:tcW w:type="dxa" w:w="964"/>
          </w:tcPr>
          <w:p>
            <w:pPr>
              <w:spacing w:after="60" w:before="40" w:line="240" w:lineRule="auto"/>
            </w:pPr>
            <w:r>
              <w:rPr>
                <w:rFonts w:ascii="Liberation Sans" w:hAnsi="Liberation Sans"/>
                <w:b w:val="0"/>
                <w:sz w:val="17"/>
              </w:rPr>
              <w:t>D2</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PD-SP-R-0034; PD-SP-EVT-0083</w:t>
            </w:r>
          </w:p>
        </w:tc>
      </w:tr>
      <w:tr>
        <w:trPr>
          <w:cantSplit/>
        </w:trPr>
        <w:tc>
          <w:tcPr>
            <w:tcW w:type="dxa" w:w="964"/>
          </w:tcPr>
          <w:p>
            <w:pPr>
              <w:spacing w:after="60" w:before="40" w:line="240" w:lineRule="auto"/>
            </w:pPr>
            <w:r>
              <w:rPr>
                <w:rFonts w:ascii="Liberation Sans" w:hAnsi="Liberation Sans"/>
                <w:b w:val="0"/>
                <w:sz w:val="17"/>
              </w:rPr>
              <w:t>D3</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PD-SP-R-0034; PD-SP-EVT-0083</w:t>
            </w:r>
          </w:p>
        </w:tc>
      </w:tr>
      <w:tr>
        <w:trPr>
          <w:cantSplit/>
        </w:trPr>
        <w:tc>
          <w:tcPr>
            <w:tcW w:type="dxa" w:w="964"/>
          </w:tcPr>
          <w:p>
            <w:pPr>
              <w:spacing w:after="60" w:before="40" w:line="240" w:lineRule="auto"/>
            </w:pPr>
            <w:r>
              <w:rPr>
                <w:rFonts w:ascii="Liberation Sans" w:hAnsi="Liberation Sans"/>
                <w:b w:val="0"/>
                <w:sz w:val="17"/>
              </w:rPr>
              <w:t>D4</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PD-SP-R-0006; PD-SP-EVT-0078</w:t>
            </w:r>
          </w:p>
        </w:tc>
      </w:tr>
      <w:tr>
        <w:trPr>
          <w:cantSplit/>
        </w:trPr>
        <w:tc>
          <w:tcPr>
            <w:tcW w:type="dxa" w:w="964"/>
          </w:tcPr>
          <w:p>
            <w:pPr>
              <w:spacing w:after="60" w:before="40" w:line="240" w:lineRule="auto"/>
            </w:pPr>
            <w:r>
              <w:rPr>
                <w:rFonts w:ascii="Liberation Sans" w:hAnsi="Liberation Sans"/>
                <w:b w:val="0"/>
                <w:sz w:val="17"/>
              </w:rPr>
              <w:t>D5</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PD-SP-R-0006</w:t>
            </w:r>
          </w:p>
        </w:tc>
      </w:tr>
      <w:tr>
        <w:trPr>
          <w:cantSplit/>
        </w:trPr>
        <w:tc>
          <w:tcPr>
            <w:tcW w:type="dxa" w:w="964"/>
          </w:tcPr>
          <w:p>
            <w:pPr>
              <w:spacing w:after="60" w:before="40" w:line="240" w:lineRule="auto"/>
            </w:pPr>
            <w:r>
              <w:rPr>
                <w:rFonts w:ascii="Liberation Sans" w:hAnsi="Liberation Sans"/>
                <w:b w:val="0"/>
                <w:sz w:val="17"/>
              </w:rPr>
              <w:t>D6</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PD-SP-R-0011; PD-SP-R-0012</w:t>
            </w:r>
          </w:p>
        </w:tc>
      </w:tr>
      <w:tr>
        <w:trPr>
          <w:cantSplit/>
        </w:trPr>
        <w:tc>
          <w:tcPr>
            <w:tcW w:type="dxa" w:w="964"/>
          </w:tcPr>
          <w:p>
            <w:pPr>
              <w:spacing w:after="60" w:before="40" w:line="240" w:lineRule="auto"/>
            </w:pPr>
            <w:r>
              <w:rPr>
                <w:rFonts w:ascii="Liberation Sans" w:hAnsi="Liberation Sans"/>
                <w:b w:val="0"/>
                <w:sz w:val="17"/>
              </w:rPr>
              <w:t>D7a</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PD-SP-R-0026; PD-SP-EVT-0090</w:t>
            </w:r>
          </w:p>
        </w:tc>
      </w:tr>
      <w:tr>
        <w:trPr>
          <w:cantSplit/>
        </w:trPr>
        <w:tc>
          <w:tcPr>
            <w:tcW w:type="dxa" w:w="964"/>
          </w:tcPr>
          <w:p>
            <w:pPr>
              <w:spacing w:after="60" w:before="40" w:line="240" w:lineRule="auto"/>
            </w:pPr>
            <w:r>
              <w:rPr>
                <w:rFonts w:ascii="Liberation Sans" w:hAnsi="Liberation Sans"/>
                <w:b w:val="0"/>
                <w:sz w:val="17"/>
              </w:rPr>
              <w:t>D7b</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PD-SP-R-0026; PD-SP-EVT-0094</w:t>
            </w:r>
          </w:p>
        </w:tc>
      </w:tr>
      <w:tr>
        <w:trPr>
          <w:cantSplit/>
        </w:trPr>
        <w:tc>
          <w:tcPr>
            <w:tcW w:type="dxa" w:w="964"/>
          </w:tcPr>
          <w:p>
            <w:pPr>
              <w:spacing w:after="60" w:before="40" w:line="240" w:lineRule="auto"/>
            </w:pPr>
            <w:r>
              <w:rPr>
                <w:rFonts w:ascii="Liberation Sans" w:hAnsi="Liberation Sans"/>
                <w:b w:val="0"/>
                <w:sz w:val="17"/>
              </w:rPr>
              <w:t>D7c</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PD-SP-R-0026; PD-SP-EVT-0095</w:t>
            </w:r>
          </w:p>
        </w:tc>
      </w:tr>
      <w:tr>
        <w:trPr>
          <w:cantSplit/>
        </w:trPr>
        <w:tc>
          <w:tcPr>
            <w:tcW w:type="dxa" w:w="964"/>
          </w:tcPr>
          <w:p>
            <w:pPr>
              <w:spacing w:after="60" w:before="40" w:line="240" w:lineRule="auto"/>
            </w:pPr>
            <w:r>
              <w:rPr>
                <w:rFonts w:ascii="Liberation Sans" w:hAnsi="Liberation Sans"/>
                <w:b w:val="0"/>
                <w:sz w:val="17"/>
              </w:rPr>
              <w:t>D7d</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PD-SP-R-0026; PD-SP-EVT-0096</w:t>
            </w:r>
          </w:p>
        </w:tc>
      </w:tr>
      <w:tr>
        <w:trPr>
          <w:cantSplit/>
        </w:trPr>
        <w:tc>
          <w:tcPr>
            <w:tcW w:type="dxa" w:w="964"/>
          </w:tcPr>
          <w:p>
            <w:pPr>
              <w:spacing w:after="60" w:before="40" w:line="240" w:lineRule="auto"/>
            </w:pPr>
            <w:r>
              <w:rPr>
                <w:rFonts w:ascii="Liberation Sans" w:hAnsi="Liberation Sans"/>
                <w:b w:val="0"/>
                <w:sz w:val="17"/>
              </w:rPr>
              <w:t>D8</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PD-SP-R-0034; PD-SP-EVT-0084</w:t>
            </w:r>
          </w:p>
        </w:tc>
      </w:tr>
      <w:tr>
        <w:trPr>
          <w:cantSplit/>
        </w:trPr>
        <w:tc>
          <w:tcPr>
            <w:tcW w:type="dxa" w:w="964"/>
          </w:tcPr>
          <w:p>
            <w:pPr>
              <w:spacing w:after="60" w:before="40" w:line="240" w:lineRule="auto"/>
            </w:pPr>
            <w:r>
              <w:rPr>
                <w:rFonts w:ascii="Liberation Sans" w:hAnsi="Liberation Sans"/>
                <w:b w:val="0"/>
                <w:sz w:val="17"/>
              </w:rPr>
              <w:t>D9</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PD-SP-R-0034; PD-SP-EVT-0085</w:t>
            </w:r>
          </w:p>
        </w:tc>
      </w:tr>
      <w:tr>
        <w:trPr>
          <w:cantSplit/>
        </w:trPr>
        <w:tc>
          <w:tcPr>
            <w:tcW w:type="dxa" w:w="964"/>
          </w:tcPr>
          <w:p>
            <w:pPr>
              <w:spacing w:after="60" w:before="40" w:line="240" w:lineRule="auto"/>
            </w:pPr>
            <w:r>
              <w:rPr>
                <w:rFonts w:ascii="Liberation Sans" w:hAnsi="Liberation Sans"/>
                <w:b w:val="0"/>
                <w:sz w:val="17"/>
              </w:rPr>
              <w:t>D10</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TS-09; PD-SP-R-0024; PD-SP-EVT-0076</w:t>
            </w:r>
          </w:p>
        </w:tc>
      </w:tr>
      <w:tr>
        <w:trPr>
          <w:cantSplit/>
        </w:trPr>
        <w:tc>
          <w:tcPr>
            <w:tcW w:type="dxa" w:w="964"/>
          </w:tcPr>
          <w:p>
            <w:pPr>
              <w:spacing w:after="60" w:before="40" w:line="240" w:lineRule="auto"/>
            </w:pPr>
            <w:r>
              <w:rPr>
                <w:rFonts w:ascii="Liberation Sans" w:hAnsi="Liberation Sans"/>
                <w:b w:val="0"/>
                <w:sz w:val="17"/>
              </w:rPr>
              <w:t>D11</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 PD-SP-EVT-0159</w:t>
            </w:r>
          </w:p>
        </w:tc>
      </w:tr>
      <w:tr>
        <w:trPr>
          <w:cantSplit/>
        </w:trPr>
        <w:tc>
          <w:tcPr>
            <w:tcW w:type="dxa" w:w="964"/>
          </w:tcPr>
          <w:p>
            <w:pPr>
              <w:spacing w:after="60" w:before="40" w:line="240" w:lineRule="auto"/>
            </w:pPr>
            <w:r>
              <w:rPr>
                <w:rFonts w:ascii="Liberation Sans" w:hAnsi="Liberation Sans"/>
                <w:b w:val="0"/>
                <w:sz w:val="17"/>
              </w:rPr>
              <w:t>D12</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TS-06; PD-SP-R-0024</w:t>
            </w:r>
          </w:p>
        </w:tc>
      </w:tr>
      <w:tr>
        <w:trPr>
          <w:cantSplit/>
        </w:trPr>
        <w:tc>
          <w:tcPr>
            <w:tcW w:type="dxa" w:w="964"/>
          </w:tcPr>
          <w:p>
            <w:pPr>
              <w:spacing w:after="60" w:before="40" w:line="240" w:lineRule="auto"/>
            </w:pPr>
            <w:r>
              <w:rPr>
                <w:rFonts w:ascii="Liberation Sans" w:hAnsi="Liberation Sans"/>
                <w:b w:val="0"/>
                <w:sz w:val="17"/>
              </w:rPr>
              <w:t>D13</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CF-08; TS-01; PD-SP-R-0024</w:t>
            </w:r>
          </w:p>
        </w:tc>
      </w:tr>
      <w:tr>
        <w:trPr>
          <w:cantSplit/>
        </w:trPr>
        <w:tc>
          <w:tcPr>
            <w:tcW w:type="dxa" w:w="964"/>
          </w:tcPr>
          <w:p>
            <w:pPr>
              <w:spacing w:after="60" w:before="40" w:line="240" w:lineRule="auto"/>
            </w:pPr>
            <w:r>
              <w:rPr>
                <w:rFonts w:ascii="Liberation Sans" w:hAnsi="Liberation Sans"/>
                <w:b w:val="0"/>
                <w:sz w:val="17"/>
              </w:rPr>
              <w:t>D14</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PD-SP-R-0024</w:t>
            </w:r>
          </w:p>
        </w:tc>
      </w:tr>
      <w:tr>
        <w:trPr>
          <w:cantSplit/>
        </w:trPr>
        <w:tc>
          <w:tcPr>
            <w:tcW w:type="dxa" w:w="964"/>
          </w:tcPr>
          <w:p>
            <w:pPr>
              <w:spacing w:after="60" w:before="40" w:line="240" w:lineRule="auto"/>
            </w:pPr>
            <w:r>
              <w:rPr>
                <w:rFonts w:ascii="Liberation Sans" w:hAnsi="Liberation Sans"/>
                <w:b w:val="0"/>
                <w:sz w:val="17"/>
              </w:rPr>
              <w:t>D15</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PD-SP-R-0023</w:t>
            </w:r>
          </w:p>
        </w:tc>
      </w:tr>
      <w:tr>
        <w:trPr>
          <w:cantSplit/>
        </w:trPr>
        <w:tc>
          <w:tcPr>
            <w:tcW w:type="dxa" w:w="964"/>
          </w:tcPr>
          <w:p>
            <w:pPr>
              <w:spacing w:after="60" w:before="40" w:line="240" w:lineRule="auto"/>
            </w:pPr>
            <w:r>
              <w:rPr>
                <w:rFonts w:ascii="Liberation Sans" w:hAnsi="Liberation Sans"/>
                <w:b w:val="0"/>
                <w:sz w:val="17"/>
              </w:rPr>
              <w:t>D16</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PD-SP-R-0023</w:t>
            </w:r>
          </w:p>
        </w:tc>
      </w:tr>
      <w:tr>
        <w:trPr>
          <w:cantSplit/>
        </w:trPr>
        <w:tc>
          <w:tcPr>
            <w:tcW w:type="dxa" w:w="964"/>
          </w:tcPr>
          <w:p>
            <w:pPr>
              <w:spacing w:after="60" w:before="40" w:line="240" w:lineRule="auto"/>
            </w:pPr>
            <w:r>
              <w:rPr>
                <w:rFonts w:ascii="Liberation Sans" w:hAnsi="Liberation Sans"/>
                <w:b w:val="0"/>
                <w:sz w:val="17"/>
              </w:rPr>
              <w:t>D17</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PD-SP-R-0023; SRC-SP7J-bfe34592043f3ab5</w:t>
            </w:r>
          </w:p>
        </w:tc>
      </w:tr>
      <w:tr>
        <w:trPr>
          <w:cantSplit/>
        </w:trPr>
        <w:tc>
          <w:tcPr>
            <w:tcW w:type="dxa" w:w="964"/>
          </w:tcPr>
          <w:p>
            <w:pPr>
              <w:spacing w:after="60" w:before="40" w:line="240" w:lineRule="auto"/>
            </w:pPr>
            <w:r>
              <w:rPr>
                <w:rFonts w:ascii="Liberation Sans" w:hAnsi="Liberation Sans"/>
                <w:b w:val="0"/>
                <w:sz w:val="17"/>
              </w:rPr>
              <w:t>D18</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CAM-TRX-03; PD-SP-R-0001</w:t>
            </w:r>
          </w:p>
        </w:tc>
      </w:tr>
      <w:tr>
        <w:trPr>
          <w:cantSplit/>
        </w:trPr>
        <w:tc>
          <w:tcPr>
            <w:tcW w:type="dxa" w:w="964"/>
          </w:tcPr>
          <w:p>
            <w:pPr>
              <w:spacing w:after="60" w:before="40" w:line="240" w:lineRule="auto"/>
            </w:pPr>
            <w:r>
              <w:rPr>
                <w:rFonts w:ascii="Liberation Sans" w:hAnsi="Liberation Sans"/>
                <w:b w:val="0"/>
                <w:sz w:val="17"/>
              </w:rPr>
              <w:t>D19</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CAM-TRX-16; PD-SP-R-0001</w:t>
            </w:r>
          </w:p>
        </w:tc>
      </w:tr>
      <w:tr>
        <w:trPr>
          <w:cantSplit/>
        </w:trPr>
        <w:tc>
          <w:tcPr>
            <w:tcW w:type="dxa" w:w="964"/>
          </w:tcPr>
          <w:p>
            <w:pPr>
              <w:spacing w:after="60" w:before="40" w:line="240" w:lineRule="auto"/>
            </w:pPr>
            <w:r>
              <w:rPr>
                <w:rFonts w:ascii="Liberation Sans" w:hAnsi="Liberation Sans"/>
                <w:b w:val="0"/>
                <w:sz w:val="17"/>
              </w:rPr>
              <w:t>D20</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CAM-TRX-11; CAM-TRX-14; CAM-TRX-15; PD-SP-R-0001</w:t>
            </w:r>
          </w:p>
        </w:tc>
      </w:tr>
      <w:tr>
        <w:trPr>
          <w:cantSplit/>
        </w:trPr>
        <w:tc>
          <w:tcPr>
            <w:tcW w:type="dxa" w:w="964"/>
          </w:tcPr>
          <w:p>
            <w:pPr>
              <w:spacing w:after="60" w:before="40" w:line="240" w:lineRule="auto"/>
            </w:pPr>
            <w:r>
              <w:rPr>
                <w:rFonts w:ascii="Liberation Sans" w:hAnsi="Liberation Sans"/>
                <w:b w:val="0"/>
                <w:sz w:val="17"/>
              </w:rPr>
              <w:t>D21</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CAM-TRX-24; PD-SP-R-0001</w:t>
            </w:r>
          </w:p>
        </w:tc>
      </w:tr>
      <w:tr>
        <w:trPr>
          <w:cantSplit/>
        </w:trPr>
        <w:tc>
          <w:tcPr>
            <w:tcW w:type="dxa" w:w="964"/>
          </w:tcPr>
          <w:p>
            <w:pPr>
              <w:spacing w:after="60" w:before="40" w:line="240" w:lineRule="auto"/>
            </w:pPr>
            <w:r>
              <w:rPr>
                <w:rFonts w:ascii="Liberation Sans" w:hAnsi="Liberation Sans"/>
                <w:b w:val="0"/>
                <w:sz w:val="17"/>
              </w:rPr>
              <w:t>D22</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CAM-TRX-29; PD-SP-R-0001</w:t>
            </w:r>
          </w:p>
        </w:tc>
      </w:tr>
      <w:tr>
        <w:trPr>
          <w:cantSplit/>
        </w:trPr>
        <w:tc>
          <w:tcPr>
            <w:tcW w:type="dxa" w:w="964"/>
          </w:tcPr>
          <w:p>
            <w:pPr>
              <w:spacing w:after="60" w:before="40" w:line="240" w:lineRule="auto"/>
            </w:pPr>
            <w:r>
              <w:rPr>
                <w:rFonts w:ascii="Liberation Sans" w:hAnsi="Liberation Sans"/>
                <w:b w:val="0"/>
                <w:sz w:val="17"/>
              </w:rPr>
              <w:t>D23</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D24</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D25</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D26</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D27</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D28</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D29a</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D29b</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D30</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SRC-SP7J-740d12152eb012aa; PD-SP-R-0023</w:t>
            </w:r>
          </w:p>
        </w:tc>
      </w:tr>
      <w:tr>
        <w:trPr>
          <w:cantSplit/>
        </w:trPr>
        <w:tc>
          <w:tcPr>
            <w:tcW w:type="dxa" w:w="964"/>
          </w:tcPr>
          <w:p>
            <w:pPr>
              <w:spacing w:after="60" w:before="40" w:line="240" w:lineRule="auto"/>
            </w:pPr>
            <w:r>
              <w:rPr>
                <w:rFonts w:ascii="Liberation Sans" w:hAnsi="Liberation Sans"/>
                <w:b w:val="0"/>
                <w:sz w:val="17"/>
              </w:rPr>
              <w:t>D31</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D32</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D33</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D34</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r>
        <w:trPr>
          <w:cantSplit/>
        </w:trPr>
        <w:tc>
          <w:tcPr>
            <w:tcW w:type="dxa" w:w="964"/>
          </w:tcPr>
          <w:p>
            <w:pPr>
              <w:spacing w:after="60" w:before="40" w:line="240" w:lineRule="auto"/>
            </w:pPr>
            <w:r>
              <w:rPr>
                <w:rFonts w:ascii="Liberation Sans" w:hAnsi="Liberation Sans"/>
                <w:b w:val="0"/>
                <w:sz w:val="17"/>
              </w:rPr>
              <w:t>D35</w:t>
            </w:r>
          </w:p>
        </w:tc>
        <w:tc>
          <w:tcPr>
            <w:tcW w:type="dxa" w:w="7937"/>
          </w:tcPr>
          <w:p>
            <w:pPr>
              <w:spacing w:after="60" w:before="40" w:line="240" w:lineRule="auto"/>
            </w:pPr>
            <w:r>
              <w:rPr>
                <w:rFonts w:ascii="Liberation Sans" w:hAnsi="Liberation Sans"/>
                <w:b w:val="0"/>
                <w:sz w:val="17"/>
              </w:rPr>
              <w:t>Conservada en el manifiesto privado</w:t>
            </w:r>
          </w:p>
        </w:tc>
        <w:tc>
          <w:tcPr>
            <w:tcW w:type="dxa" w:w="5669"/>
          </w:tcPr>
          <w:p>
            <w:pPr>
              <w:spacing w:after="60" w:before="40" w:line="240" w:lineRule="auto"/>
            </w:pPr>
            <w:r>
              <w:rPr>
                <w:rFonts w:ascii="Liberation Sans" w:hAnsi="Liberation Sans"/>
                <w:b w:val="0"/>
                <w:sz w:val="17"/>
              </w:rPr>
              <w:t>PD-SP-R-0001</w:t>
            </w:r>
          </w:p>
        </w:tc>
      </w:tr>
    </w:tbl>
    <w:p/>
    <w:p>
      <w:r>
        <w:t>El signo ^ en la arquitectura Por Derecho confirma identidad de actor, entidad, institución o procedimiento; no verdad, culpabilidad, conocimiento, presentación ni publicación. Este anexo preserva los IDs existentes. Los IDs A, M, I, P y D son claves internas de consulta de este recurso, no nuevos expedientes ni registros canónicos competidores.</w:t>
      </w:r>
    </w:p>
    <w:p>
      <w:pPr>
        <w:pStyle w:val="Heading1"/>
        <w:pageBreakBefore/>
      </w:pPr>
      <w:r>
        <w:t>9 Selección de documentos y perímetro enumerado</w:t>
      </w:r>
    </w:p>
    <w:p>
      <w:r>
        <w:t>El volumen D1–D9 conserva la selección anterior. El volumen histórico incorpora íntegros D10–D19, D21, D23–D28 y D30; D20 contiene únicamente las primeras doce páginas de una copia de 282, y D22 las páginas 1, 11, 12, 21 y 26–32 de una copia de 76. D29 es un extracto literal identificado, separado del volumen histórico. D31–D35 son fuentes privadas identificadas para obtención o aportación reservada, no anexadas al volumen histórico. Los nativos íntegros se conservan para cotejo; las piezas profesionales se someten al régimen de confidencialidad aplicable.</w:t>
      </w:r>
    </w:p>
    <w:p>
      <w:r>
        <w:t>Las páginas iniciales de D20 contienen un escrito con anexos, no una escritura aislada; su orden de digitalización no debe confundirse con el orden lógico del relato. Se conserva la secuencia del archivo recibido. Las omisiones de una selección nunca prueban inexistencia de otras cláusulas o anexos.</w:t>
      </w:r>
    </w:p>
    <w:tbl>
      <w:tblPr>
        <w:tblStyle w:val="TableGrid"/>
        <w:tblW w:type="auto" w:w="0"/>
        <w:tblLayout w:type="fixed"/>
        <w:tblLook w:firstColumn="1" w:firstRow="1" w:lastColumn="0" w:lastRow="0" w:noHBand="0" w:noVBand="1" w:val="04A0"/>
      </w:tblPr>
      <w:tblGrid>
        <w:gridCol w:w="2494"/>
        <w:gridCol w:w="6973"/>
        <w:gridCol w:w="5102"/>
      </w:tblGrid>
      <w:tr>
        <w:trPr>
          <w:tblHeader/>
          <w:cantSplit/>
        </w:trPr>
        <w:tc>
          <w:tcPr>
            <w:tcW w:type="dxa" w:w="2494"/>
            <w:shd w:fill="E8EBEF"/>
          </w:tcPr>
          <w:p>
            <w:pPr>
              <w:spacing w:after="60" w:before="40" w:line="240" w:lineRule="auto"/>
            </w:pPr>
            <w:r>
              <w:rPr>
                <w:rFonts w:ascii="Liberation Sans" w:hAnsi="Liberation Sans"/>
                <w:b/>
                <w:sz w:val="19"/>
              </w:rPr>
              <w:t>Grupo</w:t>
            </w:r>
          </w:p>
        </w:tc>
        <w:tc>
          <w:tcPr>
            <w:tcW w:type="dxa" w:w="6973"/>
            <w:shd w:fill="E8EBEF"/>
          </w:tcPr>
          <w:p>
            <w:pPr>
              <w:spacing w:after="60" w:before="40" w:line="240" w:lineRule="auto"/>
            </w:pPr>
            <w:r>
              <w:rPr>
                <w:rFonts w:ascii="Liberation Sans" w:hAnsi="Liberation Sans"/>
                <w:b/>
                <w:sz w:val="19"/>
              </w:rPr>
              <w:t>Enumeración en D19, páginas PDF 2–3</w:t>
            </w:r>
          </w:p>
        </w:tc>
        <w:tc>
          <w:tcPr>
            <w:tcW w:type="dxa" w:w="5102"/>
            <w:shd w:fill="E8EBEF"/>
          </w:tcPr>
          <w:p>
            <w:pPr>
              <w:spacing w:after="60" w:before="40" w:line="240" w:lineRule="auto"/>
            </w:pPr>
            <w:r>
              <w:rPr>
                <w:rFonts w:ascii="Liberation Sans" w:hAnsi="Liberation Sans"/>
                <w:b/>
                <w:sz w:val="19"/>
              </w:rPr>
              <w:t>Límite</w:t>
            </w:r>
          </w:p>
        </w:tc>
      </w:tr>
      <w:tr>
        <w:trPr>
          <w:cantSplit/>
        </w:trPr>
        <w:tc>
          <w:tcPr>
            <w:tcW w:type="dxa" w:w="2494"/>
          </w:tcPr>
          <w:p>
            <w:pPr>
              <w:spacing w:after="60" w:before="40" w:line="240" w:lineRule="auto"/>
            </w:pPr>
            <w:r>
              <w:rPr>
                <w:rFonts w:ascii="Liberation Sans" w:hAnsi="Liberation Sans"/>
                <w:b w:val="0"/>
                <w:sz w:val="19"/>
              </w:rPr>
              <w:t>A01 · 159 apartamentos</w:t>
            </w:r>
          </w:p>
        </w:tc>
        <w:tc>
          <w:tcPr>
            <w:tcW w:type="dxa" w:w="6973"/>
          </w:tcPr>
          <w:p>
            <w:pPr>
              <w:spacing w:after="60" w:before="40" w:line="240" w:lineRule="auto"/>
            </w:pPr>
            <w:r>
              <w:rPr>
                <w:rFonts w:ascii="Liberation Sans" w:hAnsi="Liberation Sans"/>
                <w:b w:val="0"/>
                <w:sz w:val="19"/>
              </w:rPr>
              <w:t>8537–8540, 8542, 8544–8545, 8547, 8549–8556, 8558–8559, 8561–8563, 8565–8577, 8579–8580, 8593, 8600–8602, 8604–8641, 8656–8698, 8703, 8711, 8719–8747, 8751–8757</w:t>
            </w:r>
          </w:p>
        </w:tc>
        <w:tc>
          <w:tcPr>
            <w:tcW w:type="dxa" w:w="5102"/>
          </w:tcPr>
          <w:p>
            <w:pPr>
              <w:spacing w:after="60" w:before="40" w:line="240" w:lineRule="auto"/>
            </w:pPr>
            <w:r>
              <w:rPr>
                <w:rFonts w:ascii="Liberation Sans" w:hAnsi="Liberation Sans"/>
                <w:b w:val="0"/>
                <w:sz w:val="19"/>
              </w:rPr>
              <w:t>LPB y garantías según resolución; reparto hipotecario por finca y certificaciones históricas pendientes. D22 p.12 reitera este perímetro.</w:t>
            </w:r>
          </w:p>
        </w:tc>
      </w:tr>
      <w:tr>
        <w:trPr>
          <w:cantSplit/>
        </w:trPr>
        <w:tc>
          <w:tcPr>
            <w:tcW w:type="dxa" w:w="2494"/>
          </w:tcPr>
          <w:p>
            <w:pPr>
              <w:spacing w:after="60" w:before="40" w:line="240" w:lineRule="auto"/>
            </w:pPr>
            <w:r>
              <w:rPr>
                <w:rFonts w:ascii="Liberation Sans" w:hAnsi="Liberation Sans"/>
                <w:b w:val="0"/>
                <w:sz w:val="19"/>
              </w:rPr>
              <w:t>A02 / A03 · 29 locales</w:t>
            </w:r>
          </w:p>
        </w:tc>
        <w:tc>
          <w:tcPr>
            <w:tcW w:type="dxa" w:w="6973"/>
          </w:tcPr>
          <w:p>
            <w:pPr>
              <w:spacing w:after="60" w:before="40" w:line="240" w:lineRule="auto"/>
            </w:pPr>
            <w:r>
              <w:rPr>
                <w:rFonts w:ascii="Liberation Sans" w:hAnsi="Liberation Sans"/>
                <w:b w:val="0"/>
                <w:sz w:val="19"/>
              </w:rPr>
              <w:t>8508–8536</w:t>
            </w:r>
          </w:p>
        </w:tc>
        <w:tc>
          <w:tcPr>
            <w:tcW w:type="dxa" w:w="5102"/>
          </w:tcPr>
          <w:p>
            <w:pPr>
              <w:spacing w:after="60" w:before="40" w:line="240" w:lineRule="auto"/>
            </w:pPr>
            <w:r>
              <w:rPr>
                <w:rFonts w:ascii="Liberation Sans" w:hAnsi="Liberation Sans"/>
                <w:b w:val="0"/>
                <w:sz w:val="19"/>
              </w:rPr>
              <w:t>No afectos al privilegio especial según D19. D20 refiere obstáculo registral específico para 8536.</w:t>
            </w:r>
          </w:p>
        </w:tc>
      </w:tr>
      <w:tr>
        <w:trPr>
          <w:cantSplit/>
        </w:trPr>
        <w:tc>
          <w:tcPr>
            <w:tcW w:type="dxa" w:w="2494"/>
          </w:tcPr>
          <w:p>
            <w:pPr>
              <w:spacing w:after="60" w:before="40" w:line="240" w:lineRule="auto"/>
            </w:pPr>
            <w:r>
              <w:rPr>
                <w:rFonts w:ascii="Liberation Sans" w:hAnsi="Liberation Sans"/>
                <w:b w:val="0"/>
                <w:sz w:val="19"/>
              </w:rPr>
              <w:t>A04 · 2 piscinas</w:t>
            </w:r>
          </w:p>
        </w:tc>
        <w:tc>
          <w:tcPr>
            <w:tcW w:type="dxa" w:w="6973"/>
          </w:tcPr>
          <w:p>
            <w:pPr>
              <w:spacing w:after="60" w:before="40" w:line="240" w:lineRule="auto"/>
            </w:pPr>
            <w:r>
              <w:rPr>
                <w:rFonts w:ascii="Liberation Sans" w:hAnsi="Liberation Sans"/>
                <w:b w:val="0"/>
                <w:sz w:val="19"/>
              </w:rPr>
              <w:t>8653 y 8654</w:t>
            </w:r>
          </w:p>
        </w:tc>
        <w:tc>
          <w:tcPr>
            <w:tcW w:type="dxa" w:w="5102"/>
          </w:tcPr>
          <w:p>
            <w:pPr>
              <w:spacing w:after="60" w:before="40" w:line="240" w:lineRule="auto"/>
            </w:pPr>
            <w:r>
              <w:rPr>
                <w:rFonts w:ascii="Liberation Sans" w:hAnsi="Liberation Sans"/>
                <w:b w:val="0"/>
                <w:sz w:val="19"/>
              </w:rPr>
              <w:t>Vinculación ob rem y suspensión registral referidas en D20; uso común no resuelve dominio.</w:t>
            </w:r>
          </w:p>
        </w:tc>
      </w:tr>
      <w:tr>
        <w:trPr>
          <w:cantSplit/>
        </w:trPr>
        <w:tc>
          <w:tcPr>
            <w:tcW w:type="dxa" w:w="2494"/>
          </w:tcPr>
          <w:p>
            <w:pPr>
              <w:spacing w:after="60" w:before="40" w:line="240" w:lineRule="auto"/>
            </w:pPr>
            <w:r>
              <w:rPr>
                <w:rFonts w:ascii="Liberation Sans" w:hAnsi="Liberation Sans"/>
                <w:b w:val="0"/>
                <w:sz w:val="19"/>
              </w:rPr>
              <w:t>A05 / A06 · Matkator y terceros</w:t>
            </w:r>
          </w:p>
        </w:tc>
        <w:tc>
          <w:tcPr>
            <w:tcW w:type="dxa" w:w="6973"/>
          </w:tcPr>
          <w:p>
            <w:pPr>
              <w:spacing w:after="60" w:before="40" w:line="240" w:lineRule="auto"/>
            </w:pPr>
            <w:r>
              <w:rPr>
                <w:rFonts w:ascii="Liberation Sans" w:hAnsi="Liberation Sans"/>
                <w:b w:val="0"/>
                <w:sz w:val="19"/>
              </w:rPr>
              <w:t>No se les asigna una finca sin documento de identidad/título</w:t>
            </w:r>
          </w:p>
        </w:tc>
        <w:tc>
          <w:tcPr>
            <w:tcW w:type="dxa" w:w="5102"/>
          </w:tcPr>
          <w:p>
            <w:pPr>
              <w:spacing w:after="60" w:before="40" w:line="240" w:lineRule="auto"/>
            </w:pPr>
            <w:r>
              <w:rPr>
                <w:rFonts w:ascii="Liberation Sans" w:hAnsi="Liberation Sans"/>
                <w:b w:val="0"/>
                <w:sz w:val="19"/>
              </w:rPr>
              <w:t>Su ausencia de esta lista de LPB no equivale a inexistencia de activos o derechos afectados. P01 requiere sus títulos propios.</w:t>
            </w:r>
          </w:p>
        </w:tc>
      </w:tr>
    </w:tbl>
    <w:p/>
    <w:p>
      <w:r>
        <w:t>El registro de consulta amplía las 190 fincas expresamente enumeradas a filas individuales, manteniendo los mismos límites y las casillas abiertas. No se asignan automáticamente habitaciones, referencias catastrales o cuotas de explotación a esos números.</w:t>
      </w:r>
    </w:p>
    <w:sectPr w:rsidR="00FC693F" w:rsidRPr="0006063C" w:rsidSect="00034616">
      <w:headerReference w:type="default" r:id="rId9"/>
      <w:footerReference w:type="default" r:id="rId10"/>
      <w:pgSz w:w="16838" w:h="11906"/>
      <w:pgMar w:top="964" w:right="1134" w:bottom="964"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Página </w:t>
    </w:r>
    <w:fldSimple w:instr="PAGE"/>
    <w:r>
      <w:rPr>
        <w:sz w:val="16"/>
      </w:rPr>
      <w:t xml:space="preserve">  ·  Control de versión 12 septiembre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sz w:val="16"/>
      </w:rPr>
      <w:t>EG745/2026 · COPIA PÚBLICA · VERSIÓN 12SEP2026 · NO ACREDITA PRESENTACIÓN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Liberation Sans" w:hAnsi="Liberation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00"/>
      <w:contextualSpacing/>
    </w:pPr>
    <w:rPr>
      <w:rFonts w:asciiTheme="majorHAnsi" w:eastAsiaTheme="majorEastAsia" w:hAnsiTheme="majorHAnsi" w:cstheme="majorBidi" w:ascii="Liberation Sans" w:hAnsi="Liberation Sans"/>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probatorio EG745/2026 — copia pública de la versión 12SEP2026</dc:title>
  <dc:subject>Copia pública de la versión 12SEP2026. Original íntegro en custodia privada. No acredita firma ni presentación registral.</dc:subject>
  <dc:creator>Por Derecho</dc:creator>
  <cp:keywords>EG745/2026; copia pública; versión 12SEP2026; pendiente de firma y registro</cp:keywords>
  <dc:description/>
  <cp:lastModifiedBy>Por Derecho</cp:lastModifiedBy>
  <cp:revision>1</cp:revision>
  <dcterms:created xsi:type="dcterms:W3CDTF">2026-09-12T19:12:43Z</dcterms:created>
  <dcterms:modified xsi:type="dcterms:W3CDTF">2026-09-12T19:12:43Z</dcterms:modified>
  <cp:category/>
</cp:coreProperties>
</file>